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3C7" w:rsidRPr="00CE13C7" w:rsidRDefault="00CE13C7" w:rsidP="00CE13C7">
      <w:pPr>
        <w:ind w:firstLine="709"/>
        <w:jc w:val="center"/>
        <w:outlineLvl w:val="0"/>
        <w:rPr>
          <w:b/>
          <w:sz w:val="28"/>
          <w:szCs w:val="28"/>
        </w:rPr>
      </w:pPr>
      <w:r w:rsidRPr="00CE13C7">
        <w:rPr>
          <w:b/>
          <w:sz w:val="28"/>
          <w:szCs w:val="28"/>
        </w:rPr>
        <w:t xml:space="preserve">Э К С </w:t>
      </w:r>
      <w:proofErr w:type="gramStart"/>
      <w:r w:rsidRPr="00CE13C7">
        <w:rPr>
          <w:b/>
          <w:sz w:val="28"/>
          <w:szCs w:val="28"/>
        </w:rPr>
        <w:t>П</w:t>
      </w:r>
      <w:proofErr w:type="gramEnd"/>
      <w:r w:rsidRPr="00CE13C7">
        <w:rPr>
          <w:b/>
          <w:sz w:val="28"/>
          <w:szCs w:val="28"/>
        </w:rPr>
        <w:t xml:space="preserve"> Е Р Т Н О Е   З А К Л Ю Ч Е Н И Е</w:t>
      </w:r>
    </w:p>
    <w:p w:rsidR="00C32AA6" w:rsidRDefault="00CE13C7" w:rsidP="00C32AA6">
      <w:pPr>
        <w:ind w:firstLine="709"/>
        <w:jc w:val="center"/>
        <w:outlineLvl w:val="0"/>
        <w:rPr>
          <w:b/>
          <w:sz w:val="28"/>
          <w:szCs w:val="28"/>
        </w:rPr>
      </w:pPr>
      <w:r w:rsidRPr="00CE13C7">
        <w:rPr>
          <w:b/>
          <w:sz w:val="28"/>
          <w:szCs w:val="28"/>
        </w:rPr>
        <w:t xml:space="preserve">Контрольно-счетной палаты Соликамского городского округа на проект решения </w:t>
      </w:r>
      <w:r w:rsidR="008801DA">
        <w:rPr>
          <w:b/>
          <w:sz w:val="28"/>
          <w:szCs w:val="28"/>
        </w:rPr>
        <w:t xml:space="preserve">Думы </w:t>
      </w:r>
      <w:r w:rsidRPr="00CE13C7">
        <w:rPr>
          <w:b/>
          <w:sz w:val="28"/>
          <w:szCs w:val="28"/>
        </w:rPr>
        <w:t>Соликамско</w:t>
      </w:r>
      <w:r w:rsidR="008801DA">
        <w:rPr>
          <w:b/>
          <w:sz w:val="28"/>
          <w:szCs w:val="28"/>
        </w:rPr>
        <w:t>го</w:t>
      </w:r>
      <w:r w:rsidRPr="00CE13C7">
        <w:rPr>
          <w:b/>
          <w:sz w:val="28"/>
          <w:szCs w:val="28"/>
        </w:rPr>
        <w:t xml:space="preserve"> городско</w:t>
      </w:r>
      <w:r w:rsidR="008801DA">
        <w:rPr>
          <w:b/>
          <w:sz w:val="28"/>
          <w:szCs w:val="28"/>
        </w:rPr>
        <w:t>го округа</w:t>
      </w:r>
      <w:r w:rsidRPr="00CE13C7">
        <w:rPr>
          <w:b/>
          <w:sz w:val="28"/>
          <w:szCs w:val="28"/>
        </w:rPr>
        <w:t xml:space="preserve"> « О бюджете Соликамского городского округа на 20</w:t>
      </w:r>
      <w:r w:rsidR="00343507">
        <w:rPr>
          <w:b/>
          <w:sz w:val="28"/>
          <w:szCs w:val="28"/>
        </w:rPr>
        <w:t>2</w:t>
      </w:r>
      <w:r w:rsidR="008E7065">
        <w:rPr>
          <w:b/>
          <w:sz w:val="28"/>
          <w:szCs w:val="28"/>
        </w:rPr>
        <w:t>1</w:t>
      </w:r>
      <w:r w:rsidRPr="00CE13C7">
        <w:rPr>
          <w:b/>
          <w:sz w:val="28"/>
          <w:szCs w:val="28"/>
        </w:rPr>
        <w:t xml:space="preserve"> год и плановый период 20</w:t>
      </w:r>
      <w:r w:rsidR="00C90B75">
        <w:rPr>
          <w:b/>
          <w:sz w:val="28"/>
          <w:szCs w:val="28"/>
        </w:rPr>
        <w:t>2</w:t>
      </w:r>
      <w:r w:rsidR="008E7065">
        <w:rPr>
          <w:b/>
          <w:sz w:val="28"/>
          <w:szCs w:val="28"/>
        </w:rPr>
        <w:t>2</w:t>
      </w:r>
      <w:r w:rsidRPr="00CE13C7">
        <w:rPr>
          <w:b/>
          <w:sz w:val="28"/>
          <w:szCs w:val="28"/>
        </w:rPr>
        <w:t xml:space="preserve"> и 20</w:t>
      </w:r>
      <w:r w:rsidR="005C0C86">
        <w:rPr>
          <w:b/>
          <w:sz w:val="28"/>
          <w:szCs w:val="28"/>
        </w:rPr>
        <w:t>2</w:t>
      </w:r>
      <w:r w:rsidR="008E7065">
        <w:rPr>
          <w:b/>
          <w:sz w:val="28"/>
          <w:szCs w:val="28"/>
        </w:rPr>
        <w:t>3</w:t>
      </w:r>
      <w:r w:rsidRPr="00CE13C7">
        <w:rPr>
          <w:b/>
          <w:sz w:val="28"/>
          <w:szCs w:val="28"/>
        </w:rPr>
        <w:t xml:space="preserve"> годов»</w:t>
      </w:r>
    </w:p>
    <w:p w:rsidR="00C32AA6" w:rsidRDefault="00C32AA6" w:rsidP="00C32AA6">
      <w:pPr>
        <w:ind w:firstLine="709"/>
        <w:jc w:val="right"/>
        <w:outlineLvl w:val="0"/>
        <w:rPr>
          <w:i/>
          <w:sz w:val="28"/>
          <w:szCs w:val="28"/>
        </w:rPr>
      </w:pPr>
    </w:p>
    <w:p w:rsidR="00CE13C7" w:rsidRPr="00CE13C7" w:rsidRDefault="00CE13C7" w:rsidP="00A44289">
      <w:pPr>
        <w:ind w:firstLine="709"/>
        <w:jc w:val="right"/>
        <w:outlineLvl w:val="0"/>
        <w:rPr>
          <w:i/>
          <w:sz w:val="28"/>
          <w:szCs w:val="28"/>
        </w:rPr>
      </w:pPr>
    </w:p>
    <w:p w:rsidR="00CE13C7" w:rsidRPr="00CE13C7" w:rsidRDefault="00CE13C7" w:rsidP="00CE13C7">
      <w:pPr>
        <w:ind w:firstLine="709"/>
        <w:jc w:val="both"/>
        <w:outlineLvl w:val="0"/>
        <w:rPr>
          <w:i/>
          <w:sz w:val="28"/>
          <w:szCs w:val="28"/>
        </w:rPr>
      </w:pPr>
      <w:r w:rsidRPr="00CE13C7">
        <w:rPr>
          <w:i/>
          <w:sz w:val="28"/>
          <w:szCs w:val="28"/>
        </w:rPr>
        <w:t>г. Соликамск                                                                  1</w:t>
      </w:r>
      <w:r w:rsidR="008E7065">
        <w:rPr>
          <w:i/>
          <w:sz w:val="28"/>
          <w:szCs w:val="28"/>
        </w:rPr>
        <w:t>3</w:t>
      </w:r>
      <w:r w:rsidRPr="00CE13C7">
        <w:rPr>
          <w:i/>
          <w:sz w:val="28"/>
          <w:szCs w:val="28"/>
        </w:rPr>
        <w:t xml:space="preserve">  ноября 20</w:t>
      </w:r>
      <w:r w:rsidR="008E7065">
        <w:rPr>
          <w:i/>
          <w:sz w:val="28"/>
          <w:szCs w:val="28"/>
        </w:rPr>
        <w:t>20</w:t>
      </w:r>
      <w:r w:rsidRPr="00CE13C7">
        <w:rPr>
          <w:i/>
          <w:sz w:val="28"/>
          <w:szCs w:val="28"/>
        </w:rPr>
        <w:t xml:space="preserve"> года</w:t>
      </w:r>
    </w:p>
    <w:p w:rsidR="00A371A6" w:rsidRDefault="00A371A6" w:rsidP="00704DE0">
      <w:pPr>
        <w:spacing w:line="360" w:lineRule="exact"/>
        <w:ind w:firstLine="709"/>
        <w:jc w:val="center"/>
        <w:outlineLvl w:val="0"/>
        <w:rPr>
          <w:b/>
          <w:i/>
          <w:sz w:val="28"/>
          <w:szCs w:val="28"/>
        </w:rPr>
      </w:pPr>
    </w:p>
    <w:p w:rsidR="00CC73CC" w:rsidRPr="00CE13C7" w:rsidRDefault="00CC73CC" w:rsidP="002F4D88">
      <w:pPr>
        <w:spacing w:line="360" w:lineRule="exact"/>
        <w:ind w:firstLine="709"/>
        <w:jc w:val="center"/>
        <w:outlineLvl w:val="0"/>
        <w:rPr>
          <w:b/>
          <w:i/>
          <w:sz w:val="28"/>
          <w:szCs w:val="28"/>
        </w:rPr>
      </w:pPr>
      <w:r w:rsidRPr="00CE13C7">
        <w:rPr>
          <w:b/>
          <w:i/>
          <w:sz w:val="28"/>
          <w:szCs w:val="28"/>
        </w:rPr>
        <w:t>1. Общие положения</w:t>
      </w:r>
    </w:p>
    <w:p w:rsidR="00CC73CC" w:rsidRPr="00CE13C7" w:rsidRDefault="00CC73CC" w:rsidP="00651789">
      <w:pPr>
        <w:spacing w:line="360" w:lineRule="exact"/>
        <w:ind w:firstLine="709"/>
        <w:jc w:val="both"/>
        <w:rPr>
          <w:sz w:val="28"/>
          <w:szCs w:val="28"/>
        </w:rPr>
      </w:pPr>
      <w:proofErr w:type="gramStart"/>
      <w:r w:rsidRPr="00CE13C7">
        <w:rPr>
          <w:sz w:val="28"/>
          <w:szCs w:val="28"/>
        </w:rPr>
        <w:t xml:space="preserve">Заключение Контрольно-счетной палаты Соликамского городского округа  на проект решения </w:t>
      </w:r>
      <w:r w:rsidR="00745C7C" w:rsidRPr="00745C7C">
        <w:rPr>
          <w:sz w:val="28"/>
          <w:szCs w:val="28"/>
        </w:rPr>
        <w:t xml:space="preserve">Думы Соликамского городского округа </w:t>
      </w:r>
      <w:r w:rsidRPr="00CE13C7">
        <w:rPr>
          <w:bCs/>
          <w:sz w:val="28"/>
          <w:szCs w:val="28"/>
        </w:rPr>
        <w:t>«О бюджете Соликамского городского округа на 20</w:t>
      </w:r>
      <w:r w:rsidR="00756170">
        <w:rPr>
          <w:bCs/>
          <w:sz w:val="28"/>
          <w:szCs w:val="28"/>
        </w:rPr>
        <w:t>2</w:t>
      </w:r>
      <w:r w:rsidR="000D066B">
        <w:rPr>
          <w:bCs/>
          <w:sz w:val="28"/>
          <w:szCs w:val="28"/>
        </w:rPr>
        <w:t>1</w:t>
      </w:r>
      <w:r w:rsidRPr="00CE13C7">
        <w:rPr>
          <w:bCs/>
          <w:sz w:val="28"/>
          <w:szCs w:val="28"/>
        </w:rPr>
        <w:t xml:space="preserve"> год и на плановый период</w:t>
      </w:r>
      <w:r>
        <w:rPr>
          <w:bCs/>
          <w:sz w:val="28"/>
          <w:szCs w:val="28"/>
        </w:rPr>
        <w:t xml:space="preserve"> </w:t>
      </w:r>
      <w:r w:rsidRPr="00CE13C7">
        <w:rPr>
          <w:bCs/>
          <w:sz w:val="28"/>
          <w:szCs w:val="28"/>
        </w:rPr>
        <w:t xml:space="preserve"> 20</w:t>
      </w:r>
      <w:r>
        <w:rPr>
          <w:bCs/>
          <w:sz w:val="28"/>
          <w:szCs w:val="28"/>
        </w:rPr>
        <w:t>2</w:t>
      </w:r>
      <w:r w:rsidR="000D066B">
        <w:rPr>
          <w:bCs/>
          <w:sz w:val="28"/>
          <w:szCs w:val="28"/>
        </w:rPr>
        <w:t>2</w:t>
      </w:r>
      <w:r w:rsidRPr="00CE13C7">
        <w:rPr>
          <w:bCs/>
          <w:sz w:val="28"/>
          <w:szCs w:val="28"/>
        </w:rPr>
        <w:t xml:space="preserve"> и 20</w:t>
      </w:r>
      <w:r>
        <w:rPr>
          <w:bCs/>
          <w:sz w:val="28"/>
          <w:szCs w:val="28"/>
        </w:rPr>
        <w:t>2</w:t>
      </w:r>
      <w:r w:rsidR="000D066B">
        <w:rPr>
          <w:bCs/>
          <w:sz w:val="28"/>
          <w:szCs w:val="28"/>
        </w:rPr>
        <w:t>3</w:t>
      </w:r>
      <w:r w:rsidRPr="00CE13C7">
        <w:rPr>
          <w:bCs/>
          <w:sz w:val="28"/>
          <w:szCs w:val="28"/>
        </w:rPr>
        <w:t xml:space="preserve">  годов» </w:t>
      </w:r>
      <w:r w:rsidRPr="00CE13C7">
        <w:rPr>
          <w:sz w:val="28"/>
          <w:szCs w:val="28"/>
        </w:rPr>
        <w:t xml:space="preserve"> (далее по тексту – «проект решения», «проект бюдж</w:t>
      </w:r>
      <w:r w:rsidR="00745C7C">
        <w:rPr>
          <w:sz w:val="28"/>
          <w:szCs w:val="28"/>
        </w:rPr>
        <w:t>ета», Заключение КСП СГО, СГО, Дума СГО</w:t>
      </w:r>
      <w:r w:rsidRPr="00CE13C7">
        <w:rPr>
          <w:sz w:val="28"/>
          <w:szCs w:val="28"/>
        </w:rPr>
        <w:t xml:space="preserve">) подготовлено в соответствии с Бюджетным кодексом Российской Федерации, Положением «О бюджетном процессе в Соликамском городском округе» (далее </w:t>
      </w:r>
      <w:r w:rsidR="001407F8">
        <w:rPr>
          <w:sz w:val="28"/>
          <w:szCs w:val="28"/>
        </w:rPr>
        <w:t>–</w:t>
      </w:r>
      <w:r w:rsidRPr="00CE13C7">
        <w:rPr>
          <w:sz w:val="28"/>
          <w:szCs w:val="28"/>
        </w:rPr>
        <w:t xml:space="preserve"> Положение</w:t>
      </w:r>
      <w:proofErr w:type="gramEnd"/>
      <w:r w:rsidRPr="00CE13C7">
        <w:rPr>
          <w:sz w:val="28"/>
          <w:szCs w:val="28"/>
        </w:rPr>
        <w:t xml:space="preserve"> о бюджетном процессе в СГО), утвержденным решением Соликамской городской Думы № 236 от 31.10.2007</w:t>
      </w:r>
      <w:r>
        <w:rPr>
          <w:sz w:val="28"/>
          <w:szCs w:val="28"/>
        </w:rPr>
        <w:t xml:space="preserve"> </w:t>
      </w:r>
      <w:r w:rsidRPr="00CE13C7">
        <w:rPr>
          <w:sz w:val="28"/>
          <w:szCs w:val="28"/>
        </w:rPr>
        <w:t xml:space="preserve">г., Положением о Контрольно-счетной палате Соликамского городского округа, утвержденным решением Соликамской городской Думы № 113 от 28 сентября 2011 г. </w:t>
      </w:r>
    </w:p>
    <w:p w:rsidR="00CC73CC" w:rsidRDefault="00CC73CC" w:rsidP="00651789">
      <w:pPr>
        <w:spacing w:line="360" w:lineRule="exact"/>
        <w:ind w:firstLine="709"/>
        <w:jc w:val="both"/>
        <w:rPr>
          <w:sz w:val="28"/>
          <w:szCs w:val="28"/>
        </w:rPr>
      </w:pPr>
      <w:r w:rsidRPr="00443DBD">
        <w:rPr>
          <w:sz w:val="28"/>
          <w:szCs w:val="28"/>
        </w:rPr>
        <w:t>В соответствии со ст. 15 Положения о бюджетном процессе в СГО предметом рассмотрения проекта решения о местном бюджете в первом чтении является обсуждение его концепции и прогноза социально-экономического развития Соликамского городского округа на очередной финансовый год и плановый период, а также основных направлений бюджетной и налоговой политики Соликамского городского округа.</w:t>
      </w:r>
    </w:p>
    <w:p w:rsidR="00CC73CC" w:rsidRDefault="00CC73CC" w:rsidP="00651789">
      <w:pPr>
        <w:spacing w:line="360" w:lineRule="exact"/>
        <w:ind w:firstLine="709"/>
        <w:jc w:val="both"/>
        <w:rPr>
          <w:sz w:val="28"/>
          <w:szCs w:val="28"/>
        </w:rPr>
      </w:pPr>
      <w:r w:rsidRPr="00CE13C7">
        <w:rPr>
          <w:sz w:val="28"/>
          <w:szCs w:val="28"/>
        </w:rPr>
        <w:t>При подготовке Заключения проанализированы основные направления бюджетной и налоговой политики Соликамского городского округа на 20</w:t>
      </w:r>
      <w:r w:rsidR="00756170">
        <w:rPr>
          <w:sz w:val="28"/>
          <w:szCs w:val="28"/>
        </w:rPr>
        <w:t>2</w:t>
      </w:r>
      <w:r w:rsidR="000D066B">
        <w:rPr>
          <w:sz w:val="28"/>
          <w:szCs w:val="28"/>
        </w:rPr>
        <w:t>1</w:t>
      </w:r>
      <w:r w:rsidRPr="00CE13C7">
        <w:rPr>
          <w:sz w:val="28"/>
          <w:szCs w:val="28"/>
        </w:rPr>
        <w:t xml:space="preserve"> год и на плановый период 20</w:t>
      </w:r>
      <w:r>
        <w:rPr>
          <w:sz w:val="28"/>
          <w:szCs w:val="28"/>
        </w:rPr>
        <w:t>2</w:t>
      </w:r>
      <w:r w:rsidR="000D066B">
        <w:rPr>
          <w:sz w:val="28"/>
          <w:szCs w:val="28"/>
        </w:rPr>
        <w:t>2</w:t>
      </w:r>
      <w:r w:rsidRPr="00CE13C7">
        <w:rPr>
          <w:sz w:val="28"/>
          <w:szCs w:val="28"/>
        </w:rPr>
        <w:t>-20</w:t>
      </w:r>
      <w:r>
        <w:rPr>
          <w:sz w:val="28"/>
          <w:szCs w:val="28"/>
        </w:rPr>
        <w:t>2</w:t>
      </w:r>
      <w:r w:rsidR="000D066B">
        <w:rPr>
          <w:sz w:val="28"/>
          <w:szCs w:val="28"/>
        </w:rPr>
        <w:t>3</w:t>
      </w:r>
      <w:r>
        <w:rPr>
          <w:sz w:val="28"/>
          <w:szCs w:val="28"/>
        </w:rPr>
        <w:t xml:space="preserve"> </w:t>
      </w:r>
      <w:r w:rsidRPr="00CE13C7">
        <w:rPr>
          <w:sz w:val="28"/>
          <w:szCs w:val="28"/>
        </w:rPr>
        <w:t xml:space="preserve">годов, предварительные итоги социально-экономического развития Соликамского городского округа за </w:t>
      </w:r>
      <w:r>
        <w:rPr>
          <w:sz w:val="28"/>
          <w:szCs w:val="28"/>
        </w:rPr>
        <w:t>6</w:t>
      </w:r>
      <w:r w:rsidRPr="00CE13C7">
        <w:rPr>
          <w:sz w:val="28"/>
          <w:szCs w:val="28"/>
        </w:rPr>
        <w:t xml:space="preserve"> месяцев 20</w:t>
      </w:r>
      <w:r w:rsidR="000D066B">
        <w:rPr>
          <w:sz w:val="28"/>
          <w:szCs w:val="28"/>
        </w:rPr>
        <w:t>20</w:t>
      </w:r>
      <w:r w:rsidRPr="00CE13C7">
        <w:rPr>
          <w:sz w:val="28"/>
          <w:szCs w:val="28"/>
        </w:rPr>
        <w:t xml:space="preserve"> года и ожидаемые итоги социально-экономического развития Соликамского городского округа на 20</w:t>
      </w:r>
      <w:r w:rsidR="000D066B">
        <w:rPr>
          <w:sz w:val="28"/>
          <w:szCs w:val="28"/>
        </w:rPr>
        <w:t>20</w:t>
      </w:r>
      <w:r w:rsidRPr="00CE13C7">
        <w:rPr>
          <w:sz w:val="28"/>
          <w:szCs w:val="28"/>
        </w:rPr>
        <w:t xml:space="preserve"> год, показатели уточненного прогноза социально-экономического развития Солика</w:t>
      </w:r>
      <w:r>
        <w:rPr>
          <w:sz w:val="28"/>
          <w:szCs w:val="28"/>
        </w:rPr>
        <w:t>мского городского округа на 20</w:t>
      </w:r>
      <w:r w:rsidR="00756170">
        <w:rPr>
          <w:sz w:val="28"/>
          <w:szCs w:val="28"/>
        </w:rPr>
        <w:t>2</w:t>
      </w:r>
      <w:r w:rsidR="000D066B">
        <w:rPr>
          <w:sz w:val="28"/>
          <w:szCs w:val="28"/>
        </w:rPr>
        <w:t>1</w:t>
      </w:r>
      <w:r w:rsidR="00756170">
        <w:rPr>
          <w:sz w:val="28"/>
          <w:szCs w:val="28"/>
        </w:rPr>
        <w:t xml:space="preserve"> год и периоды до 202</w:t>
      </w:r>
      <w:r w:rsidR="000D066B">
        <w:rPr>
          <w:sz w:val="28"/>
          <w:szCs w:val="28"/>
        </w:rPr>
        <w:t>3</w:t>
      </w:r>
      <w:r w:rsidRPr="00CE13C7">
        <w:rPr>
          <w:sz w:val="28"/>
          <w:szCs w:val="28"/>
        </w:rPr>
        <w:t xml:space="preserve"> года, проект решения </w:t>
      </w:r>
      <w:r w:rsidR="00247383">
        <w:rPr>
          <w:sz w:val="28"/>
          <w:szCs w:val="28"/>
        </w:rPr>
        <w:t xml:space="preserve">Думы </w:t>
      </w:r>
      <w:r w:rsidRPr="00CE13C7">
        <w:rPr>
          <w:sz w:val="28"/>
          <w:szCs w:val="28"/>
        </w:rPr>
        <w:t>Соликамско</w:t>
      </w:r>
      <w:r w:rsidR="00247383">
        <w:rPr>
          <w:sz w:val="28"/>
          <w:szCs w:val="28"/>
        </w:rPr>
        <w:t>го</w:t>
      </w:r>
      <w:r w:rsidRPr="00CE13C7">
        <w:rPr>
          <w:sz w:val="28"/>
          <w:szCs w:val="28"/>
        </w:rPr>
        <w:t xml:space="preserve"> городско</w:t>
      </w:r>
      <w:r w:rsidR="00247383">
        <w:rPr>
          <w:sz w:val="28"/>
          <w:szCs w:val="28"/>
        </w:rPr>
        <w:t>го округа</w:t>
      </w:r>
      <w:r w:rsidRPr="00CE13C7">
        <w:rPr>
          <w:sz w:val="28"/>
          <w:szCs w:val="28"/>
        </w:rPr>
        <w:t xml:space="preserve"> «О бюджете Соликамского городского округа на 20</w:t>
      </w:r>
      <w:r w:rsidR="00756170">
        <w:rPr>
          <w:sz w:val="28"/>
          <w:szCs w:val="28"/>
        </w:rPr>
        <w:t>2</w:t>
      </w:r>
      <w:r w:rsidR="000D066B">
        <w:rPr>
          <w:sz w:val="28"/>
          <w:szCs w:val="28"/>
        </w:rPr>
        <w:t>1</w:t>
      </w:r>
      <w:r>
        <w:rPr>
          <w:sz w:val="28"/>
          <w:szCs w:val="28"/>
        </w:rPr>
        <w:t xml:space="preserve"> год и плановый период 202</w:t>
      </w:r>
      <w:r w:rsidR="000D066B">
        <w:rPr>
          <w:sz w:val="28"/>
          <w:szCs w:val="28"/>
        </w:rPr>
        <w:t>2</w:t>
      </w:r>
      <w:r>
        <w:rPr>
          <w:sz w:val="28"/>
          <w:szCs w:val="28"/>
        </w:rPr>
        <w:t xml:space="preserve"> и 202</w:t>
      </w:r>
      <w:r w:rsidR="000D066B">
        <w:rPr>
          <w:sz w:val="28"/>
          <w:szCs w:val="28"/>
        </w:rPr>
        <w:t>3</w:t>
      </w:r>
      <w:r w:rsidRPr="00CE13C7">
        <w:rPr>
          <w:sz w:val="28"/>
          <w:szCs w:val="28"/>
        </w:rPr>
        <w:t xml:space="preserve"> годов».</w:t>
      </w:r>
    </w:p>
    <w:p w:rsidR="00CC73CC" w:rsidRPr="00CE13C7" w:rsidRDefault="00CC73CC" w:rsidP="00651789">
      <w:pPr>
        <w:spacing w:line="360" w:lineRule="exact"/>
        <w:ind w:firstLine="709"/>
        <w:jc w:val="both"/>
        <w:rPr>
          <w:sz w:val="28"/>
          <w:szCs w:val="28"/>
        </w:rPr>
      </w:pPr>
      <w:r w:rsidRPr="00F830DB">
        <w:rPr>
          <w:sz w:val="28"/>
          <w:szCs w:val="28"/>
        </w:rPr>
        <w:t>Представленный проект бюджета на 20</w:t>
      </w:r>
      <w:r w:rsidR="005E22D2">
        <w:rPr>
          <w:sz w:val="28"/>
          <w:szCs w:val="28"/>
        </w:rPr>
        <w:t>2</w:t>
      </w:r>
      <w:r w:rsidR="000D066B">
        <w:rPr>
          <w:sz w:val="28"/>
          <w:szCs w:val="28"/>
        </w:rPr>
        <w:t>1</w:t>
      </w:r>
      <w:r w:rsidRPr="00F830DB">
        <w:rPr>
          <w:sz w:val="28"/>
          <w:szCs w:val="28"/>
        </w:rPr>
        <w:t xml:space="preserve"> год и плановый период 202</w:t>
      </w:r>
      <w:r w:rsidR="000D066B">
        <w:rPr>
          <w:sz w:val="28"/>
          <w:szCs w:val="28"/>
        </w:rPr>
        <w:t>2</w:t>
      </w:r>
      <w:r w:rsidRPr="00F830DB">
        <w:rPr>
          <w:sz w:val="28"/>
          <w:szCs w:val="28"/>
        </w:rPr>
        <w:t xml:space="preserve"> и 202</w:t>
      </w:r>
      <w:r w:rsidR="000D066B">
        <w:rPr>
          <w:sz w:val="28"/>
          <w:szCs w:val="28"/>
        </w:rPr>
        <w:t>3</w:t>
      </w:r>
      <w:r w:rsidRPr="00F830DB">
        <w:rPr>
          <w:sz w:val="28"/>
          <w:szCs w:val="28"/>
        </w:rPr>
        <w:t xml:space="preserve"> годов в целом соответствует бюджетному законодательству и основным направлениям налоговой и бюджетной политики муниципального образования.</w:t>
      </w:r>
    </w:p>
    <w:p w:rsidR="00CC73CC" w:rsidRDefault="00CC73CC" w:rsidP="00651789">
      <w:pPr>
        <w:spacing w:line="360" w:lineRule="exact"/>
        <w:ind w:firstLine="709"/>
        <w:jc w:val="both"/>
        <w:rPr>
          <w:b/>
          <w:bCs/>
          <w:sz w:val="28"/>
          <w:szCs w:val="28"/>
        </w:rPr>
      </w:pPr>
    </w:p>
    <w:p w:rsidR="00CC73CC" w:rsidRPr="00CE13C7" w:rsidRDefault="00CC73CC" w:rsidP="00651789">
      <w:pPr>
        <w:spacing w:line="360" w:lineRule="exact"/>
        <w:ind w:firstLine="709"/>
        <w:jc w:val="center"/>
        <w:rPr>
          <w:b/>
          <w:bCs/>
          <w:i/>
          <w:sz w:val="28"/>
          <w:szCs w:val="28"/>
        </w:rPr>
      </w:pPr>
      <w:r w:rsidRPr="00CE13C7">
        <w:rPr>
          <w:b/>
          <w:bCs/>
          <w:sz w:val="28"/>
          <w:szCs w:val="28"/>
        </w:rPr>
        <w:lastRenderedPageBreak/>
        <w:t>2</w:t>
      </w:r>
      <w:r w:rsidRPr="00CE13C7">
        <w:rPr>
          <w:b/>
          <w:bCs/>
          <w:i/>
          <w:sz w:val="28"/>
          <w:szCs w:val="28"/>
        </w:rPr>
        <w:t>. Анализ полноты представленных вместе с проектом решения о бюджете Соликамского городского округа на 20</w:t>
      </w:r>
      <w:r w:rsidR="005E22D2">
        <w:rPr>
          <w:b/>
          <w:bCs/>
          <w:i/>
          <w:sz w:val="28"/>
          <w:szCs w:val="28"/>
        </w:rPr>
        <w:t>2</w:t>
      </w:r>
      <w:r w:rsidR="00821326">
        <w:rPr>
          <w:b/>
          <w:bCs/>
          <w:i/>
          <w:sz w:val="28"/>
          <w:szCs w:val="28"/>
        </w:rPr>
        <w:t>1</w:t>
      </w:r>
      <w:r>
        <w:rPr>
          <w:b/>
          <w:bCs/>
          <w:i/>
          <w:sz w:val="28"/>
          <w:szCs w:val="28"/>
        </w:rPr>
        <w:t xml:space="preserve"> год и плановый период 202</w:t>
      </w:r>
      <w:r w:rsidR="00821326">
        <w:rPr>
          <w:b/>
          <w:bCs/>
          <w:i/>
          <w:sz w:val="28"/>
          <w:szCs w:val="28"/>
        </w:rPr>
        <w:t>2</w:t>
      </w:r>
      <w:r>
        <w:rPr>
          <w:b/>
          <w:bCs/>
          <w:i/>
          <w:sz w:val="28"/>
          <w:szCs w:val="28"/>
        </w:rPr>
        <w:t>-202</w:t>
      </w:r>
      <w:r w:rsidR="00821326">
        <w:rPr>
          <w:b/>
          <w:bCs/>
          <w:i/>
          <w:sz w:val="28"/>
          <w:szCs w:val="28"/>
        </w:rPr>
        <w:t>3</w:t>
      </w:r>
      <w:r w:rsidRPr="00CE13C7">
        <w:rPr>
          <w:b/>
          <w:bCs/>
          <w:i/>
          <w:sz w:val="28"/>
          <w:szCs w:val="28"/>
        </w:rPr>
        <w:t xml:space="preserve"> г.</w:t>
      </w:r>
      <w:r>
        <w:rPr>
          <w:b/>
          <w:bCs/>
          <w:i/>
          <w:sz w:val="28"/>
          <w:szCs w:val="28"/>
        </w:rPr>
        <w:t xml:space="preserve"> </w:t>
      </w:r>
      <w:r w:rsidRPr="00CE13C7">
        <w:rPr>
          <w:b/>
          <w:bCs/>
          <w:i/>
          <w:sz w:val="28"/>
          <w:szCs w:val="28"/>
        </w:rPr>
        <w:t>г. документов и материалов</w:t>
      </w:r>
    </w:p>
    <w:p w:rsidR="00CC73CC" w:rsidRPr="00CE13C7" w:rsidRDefault="00CC73CC" w:rsidP="00651789">
      <w:pPr>
        <w:spacing w:line="360" w:lineRule="exact"/>
        <w:ind w:firstLine="708"/>
        <w:jc w:val="both"/>
        <w:rPr>
          <w:sz w:val="28"/>
          <w:szCs w:val="28"/>
        </w:rPr>
      </w:pPr>
      <w:r w:rsidRPr="00CE13C7">
        <w:rPr>
          <w:sz w:val="28"/>
          <w:szCs w:val="28"/>
        </w:rPr>
        <w:t>Проект решения внесен</w:t>
      </w:r>
      <w:r w:rsidR="006F4A59" w:rsidRPr="006F4A59">
        <w:t xml:space="preserve"> </w:t>
      </w:r>
      <w:r w:rsidR="006F4A59" w:rsidRPr="006F4A59">
        <w:rPr>
          <w:sz w:val="28"/>
          <w:szCs w:val="28"/>
        </w:rPr>
        <w:t>главой городского округа</w:t>
      </w:r>
      <w:r w:rsidR="006F4A59">
        <w:rPr>
          <w:sz w:val="28"/>
          <w:szCs w:val="28"/>
        </w:rPr>
        <w:t xml:space="preserve"> – </w:t>
      </w:r>
      <w:r w:rsidR="006F4A59" w:rsidRPr="006F4A59">
        <w:rPr>
          <w:sz w:val="28"/>
          <w:szCs w:val="28"/>
        </w:rPr>
        <w:t xml:space="preserve">главой администрации Соликамского </w:t>
      </w:r>
      <w:r w:rsidRPr="00CE13C7">
        <w:rPr>
          <w:sz w:val="28"/>
          <w:szCs w:val="28"/>
        </w:rPr>
        <w:t xml:space="preserve"> </w:t>
      </w:r>
      <w:r w:rsidR="006F4A59">
        <w:rPr>
          <w:sz w:val="28"/>
          <w:szCs w:val="28"/>
        </w:rPr>
        <w:t>городского округа</w:t>
      </w:r>
      <w:r w:rsidRPr="00CE13C7">
        <w:rPr>
          <w:sz w:val="28"/>
          <w:szCs w:val="28"/>
        </w:rPr>
        <w:t xml:space="preserve"> для рассмотрения в </w:t>
      </w:r>
      <w:r w:rsidR="006F4A59">
        <w:rPr>
          <w:sz w:val="28"/>
          <w:szCs w:val="28"/>
        </w:rPr>
        <w:t xml:space="preserve">Думу </w:t>
      </w:r>
      <w:r w:rsidRPr="00CE13C7">
        <w:rPr>
          <w:sz w:val="28"/>
          <w:szCs w:val="28"/>
        </w:rPr>
        <w:t>Соликамск</w:t>
      </w:r>
      <w:r w:rsidR="006F4A59">
        <w:rPr>
          <w:sz w:val="28"/>
          <w:szCs w:val="28"/>
        </w:rPr>
        <w:t>ого</w:t>
      </w:r>
      <w:r w:rsidRPr="00CE13C7">
        <w:rPr>
          <w:sz w:val="28"/>
          <w:szCs w:val="28"/>
        </w:rPr>
        <w:t xml:space="preserve"> г</w:t>
      </w:r>
      <w:r>
        <w:rPr>
          <w:sz w:val="28"/>
          <w:szCs w:val="28"/>
        </w:rPr>
        <w:t>ородск</w:t>
      </w:r>
      <w:r w:rsidR="006F4A59">
        <w:rPr>
          <w:sz w:val="28"/>
          <w:szCs w:val="28"/>
        </w:rPr>
        <w:t>ого округа</w:t>
      </w:r>
      <w:r>
        <w:rPr>
          <w:sz w:val="28"/>
          <w:szCs w:val="28"/>
        </w:rPr>
        <w:t xml:space="preserve"> </w:t>
      </w:r>
      <w:r w:rsidRPr="0003187E">
        <w:rPr>
          <w:sz w:val="28"/>
          <w:szCs w:val="28"/>
        </w:rPr>
        <w:t xml:space="preserve">– </w:t>
      </w:r>
      <w:r w:rsidR="00821326">
        <w:rPr>
          <w:sz w:val="28"/>
          <w:szCs w:val="28"/>
        </w:rPr>
        <w:t>29</w:t>
      </w:r>
      <w:r w:rsidR="002E4E8D" w:rsidRPr="002E4E8D">
        <w:rPr>
          <w:sz w:val="28"/>
          <w:szCs w:val="28"/>
        </w:rPr>
        <w:t xml:space="preserve"> </w:t>
      </w:r>
      <w:r w:rsidR="00821326">
        <w:rPr>
          <w:sz w:val="28"/>
          <w:szCs w:val="28"/>
        </w:rPr>
        <w:t>октя</w:t>
      </w:r>
      <w:r w:rsidR="002E4E8D" w:rsidRPr="002E4E8D">
        <w:rPr>
          <w:sz w:val="28"/>
          <w:szCs w:val="28"/>
        </w:rPr>
        <w:t>бря</w:t>
      </w:r>
      <w:r w:rsidRPr="002E4E8D">
        <w:rPr>
          <w:sz w:val="28"/>
          <w:szCs w:val="28"/>
        </w:rPr>
        <w:t xml:space="preserve"> 20</w:t>
      </w:r>
      <w:r w:rsidR="00821326">
        <w:rPr>
          <w:sz w:val="28"/>
          <w:szCs w:val="28"/>
        </w:rPr>
        <w:t>20</w:t>
      </w:r>
      <w:r w:rsidRPr="002E4E8D">
        <w:rPr>
          <w:sz w:val="28"/>
          <w:szCs w:val="28"/>
        </w:rPr>
        <w:t xml:space="preserve"> года</w:t>
      </w:r>
      <w:r w:rsidRPr="002E4E8D">
        <w:t xml:space="preserve"> </w:t>
      </w:r>
      <w:r w:rsidRPr="002E4E8D">
        <w:rPr>
          <w:sz w:val="28"/>
          <w:szCs w:val="28"/>
        </w:rPr>
        <w:t xml:space="preserve">и </w:t>
      </w:r>
      <w:r w:rsidR="00821326">
        <w:rPr>
          <w:sz w:val="28"/>
          <w:szCs w:val="28"/>
        </w:rPr>
        <w:t>30</w:t>
      </w:r>
      <w:r w:rsidRPr="002E4E8D">
        <w:rPr>
          <w:sz w:val="28"/>
          <w:szCs w:val="28"/>
        </w:rPr>
        <w:t xml:space="preserve"> </w:t>
      </w:r>
      <w:r w:rsidR="00821326">
        <w:rPr>
          <w:sz w:val="28"/>
          <w:szCs w:val="28"/>
        </w:rPr>
        <w:t>октя</w:t>
      </w:r>
      <w:r w:rsidR="002E4E8D" w:rsidRPr="002E4E8D">
        <w:rPr>
          <w:sz w:val="28"/>
          <w:szCs w:val="28"/>
        </w:rPr>
        <w:t>бря</w:t>
      </w:r>
      <w:r w:rsidRPr="002E4E8D">
        <w:rPr>
          <w:sz w:val="28"/>
          <w:szCs w:val="28"/>
        </w:rPr>
        <w:t xml:space="preserve"> 20</w:t>
      </w:r>
      <w:r w:rsidR="00821326">
        <w:rPr>
          <w:sz w:val="28"/>
          <w:szCs w:val="28"/>
        </w:rPr>
        <w:t>20</w:t>
      </w:r>
      <w:r w:rsidRPr="00CE13C7">
        <w:rPr>
          <w:sz w:val="28"/>
          <w:szCs w:val="28"/>
        </w:rPr>
        <w:t xml:space="preserve"> года направлен в КСП СГО для подготовки заключения. </w:t>
      </w:r>
    </w:p>
    <w:p w:rsidR="00CC73CC" w:rsidRDefault="00CC73CC" w:rsidP="00651789">
      <w:pPr>
        <w:spacing w:line="360" w:lineRule="exact"/>
        <w:ind w:firstLine="709"/>
        <w:jc w:val="both"/>
        <w:rPr>
          <w:sz w:val="28"/>
          <w:szCs w:val="28"/>
        </w:rPr>
      </w:pPr>
      <w:r w:rsidRPr="00111373">
        <w:rPr>
          <w:sz w:val="28"/>
          <w:szCs w:val="28"/>
        </w:rPr>
        <w:t>Состав документов и материалов, предоставляемых  одновременно с проектом решения,  соответствует ст. 184.1 и 184.2 Бюджетного кодекса РФ, а также статьям 13 и 14 Положения о бюджетном процессе в СГО.</w:t>
      </w:r>
    </w:p>
    <w:p w:rsidR="00560A57" w:rsidRDefault="00560A57" w:rsidP="00651789">
      <w:pPr>
        <w:spacing w:line="360" w:lineRule="exact"/>
        <w:ind w:firstLine="709"/>
        <w:jc w:val="both"/>
        <w:rPr>
          <w:sz w:val="28"/>
          <w:szCs w:val="28"/>
        </w:rPr>
      </w:pPr>
      <w:r w:rsidRPr="000120C8">
        <w:rPr>
          <w:sz w:val="28"/>
          <w:szCs w:val="28"/>
        </w:rPr>
        <w:t>В соответствии с пунктом 1 статьи 47.1 БК РФ финансовые ор</w:t>
      </w:r>
      <w:r w:rsidR="00D95E47">
        <w:rPr>
          <w:sz w:val="28"/>
          <w:szCs w:val="28"/>
        </w:rPr>
        <w:t>ганы муниципальных образований</w:t>
      </w:r>
      <w:r w:rsidRPr="000120C8">
        <w:rPr>
          <w:sz w:val="28"/>
          <w:szCs w:val="28"/>
        </w:rPr>
        <w:t xml:space="preserve"> обязаны вести реестры источников доходов</w:t>
      </w:r>
      <w:r>
        <w:rPr>
          <w:sz w:val="28"/>
          <w:szCs w:val="28"/>
        </w:rPr>
        <w:t>.</w:t>
      </w:r>
      <w:r w:rsidRPr="000120C8">
        <w:rPr>
          <w:sz w:val="28"/>
          <w:szCs w:val="28"/>
        </w:rPr>
        <w:t xml:space="preserve"> Согласно пункту 7 статьи 47.1 БК РФ реестры источников доходов местных бюджетов формируются и ведутся в порядке, установленном местной администрацией. </w:t>
      </w:r>
    </w:p>
    <w:p w:rsidR="00247383" w:rsidRPr="00111373" w:rsidRDefault="00560A57" w:rsidP="00651789">
      <w:pPr>
        <w:spacing w:line="360" w:lineRule="exact"/>
        <w:ind w:firstLine="709"/>
        <w:jc w:val="both"/>
        <w:rPr>
          <w:sz w:val="28"/>
          <w:szCs w:val="28"/>
        </w:rPr>
      </w:pPr>
      <w:r>
        <w:rPr>
          <w:sz w:val="28"/>
          <w:szCs w:val="28"/>
        </w:rPr>
        <w:t xml:space="preserve">Реестр </w:t>
      </w:r>
      <w:r w:rsidRPr="000120C8">
        <w:rPr>
          <w:sz w:val="28"/>
          <w:szCs w:val="28"/>
        </w:rPr>
        <w:t xml:space="preserve">источников доходов </w:t>
      </w:r>
      <w:r>
        <w:rPr>
          <w:sz w:val="28"/>
          <w:szCs w:val="28"/>
        </w:rPr>
        <w:t>СГО на 202</w:t>
      </w:r>
      <w:r w:rsidR="00292714">
        <w:rPr>
          <w:sz w:val="28"/>
          <w:szCs w:val="28"/>
        </w:rPr>
        <w:t>1</w:t>
      </w:r>
      <w:r>
        <w:rPr>
          <w:sz w:val="28"/>
          <w:szCs w:val="28"/>
        </w:rPr>
        <w:t>г. и плановый период 202</w:t>
      </w:r>
      <w:r w:rsidR="00292714">
        <w:rPr>
          <w:sz w:val="28"/>
          <w:szCs w:val="28"/>
        </w:rPr>
        <w:t xml:space="preserve">2 </w:t>
      </w:r>
      <w:r>
        <w:rPr>
          <w:sz w:val="28"/>
          <w:szCs w:val="28"/>
        </w:rPr>
        <w:t>и 202</w:t>
      </w:r>
      <w:r w:rsidR="00292714">
        <w:rPr>
          <w:sz w:val="28"/>
          <w:szCs w:val="28"/>
        </w:rPr>
        <w:t>3</w:t>
      </w:r>
      <w:r>
        <w:rPr>
          <w:sz w:val="28"/>
          <w:szCs w:val="28"/>
        </w:rPr>
        <w:t xml:space="preserve"> годов сформирован на основании «</w:t>
      </w:r>
      <w:r w:rsidR="00247383">
        <w:rPr>
          <w:sz w:val="28"/>
          <w:szCs w:val="28"/>
        </w:rPr>
        <w:t>Поряд</w:t>
      </w:r>
      <w:r>
        <w:rPr>
          <w:sz w:val="28"/>
          <w:szCs w:val="28"/>
        </w:rPr>
        <w:t>ка</w:t>
      </w:r>
      <w:r w:rsidR="00B1065D">
        <w:rPr>
          <w:sz w:val="28"/>
          <w:szCs w:val="28"/>
        </w:rPr>
        <w:t xml:space="preserve"> </w:t>
      </w:r>
      <w:r w:rsidR="00B1065D" w:rsidRPr="00B1065D">
        <w:rPr>
          <w:sz w:val="28"/>
          <w:szCs w:val="28"/>
        </w:rPr>
        <w:t>формирования и ведения реестра источников доходов бюджета</w:t>
      </w:r>
      <w:r w:rsidR="00B1065D">
        <w:rPr>
          <w:sz w:val="28"/>
          <w:szCs w:val="28"/>
        </w:rPr>
        <w:t xml:space="preserve"> </w:t>
      </w:r>
      <w:r w:rsidR="00B1065D" w:rsidRPr="00B1065D">
        <w:rPr>
          <w:sz w:val="28"/>
          <w:szCs w:val="28"/>
        </w:rPr>
        <w:t>Соликамского городского округа</w:t>
      </w:r>
      <w:r>
        <w:rPr>
          <w:sz w:val="28"/>
          <w:szCs w:val="28"/>
        </w:rPr>
        <w:t>»,</w:t>
      </w:r>
      <w:r w:rsidR="00B1065D">
        <w:rPr>
          <w:sz w:val="28"/>
          <w:szCs w:val="28"/>
        </w:rPr>
        <w:t xml:space="preserve"> утвержден</w:t>
      </w:r>
      <w:r>
        <w:rPr>
          <w:sz w:val="28"/>
          <w:szCs w:val="28"/>
        </w:rPr>
        <w:t>ного</w:t>
      </w:r>
      <w:r w:rsidR="00B1065D">
        <w:rPr>
          <w:sz w:val="28"/>
          <w:szCs w:val="28"/>
        </w:rPr>
        <w:t xml:space="preserve"> </w:t>
      </w:r>
      <w:r w:rsidR="00B1065D" w:rsidRPr="00B1065D">
        <w:rPr>
          <w:sz w:val="28"/>
          <w:szCs w:val="28"/>
        </w:rPr>
        <w:t>постановлением администрации</w:t>
      </w:r>
      <w:r w:rsidR="00B1065D">
        <w:rPr>
          <w:sz w:val="28"/>
          <w:szCs w:val="28"/>
        </w:rPr>
        <w:t xml:space="preserve"> </w:t>
      </w:r>
      <w:r w:rsidR="00B1065D" w:rsidRPr="00B1065D">
        <w:rPr>
          <w:sz w:val="28"/>
          <w:szCs w:val="28"/>
        </w:rPr>
        <w:t>города Соликамска</w:t>
      </w:r>
      <w:r w:rsidR="00B1065D">
        <w:rPr>
          <w:sz w:val="28"/>
          <w:szCs w:val="28"/>
        </w:rPr>
        <w:t xml:space="preserve"> </w:t>
      </w:r>
      <w:r w:rsidR="00B1065D" w:rsidRPr="00B1065D">
        <w:rPr>
          <w:sz w:val="28"/>
          <w:szCs w:val="28"/>
        </w:rPr>
        <w:t xml:space="preserve">от 16.11.2016 </w:t>
      </w:r>
      <w:r w:rsidR="00FE144A">
        <w:rPr>
          <w:sz w:val="28"/>
          <w:szCs w:val="28"/>
        </w:rPr>
        <w:t xml:space="preserve">г. </w:t>
      </w:r>
      <w:r w:rsidR="00B1065D" w:rsidRPr="00B1065D">
        <w:rPr>
          <w:sz w:val="28"/>
          <w:szCs w:val="28"/>
        </w:rPr>
        <w:t>№ 1832-па</w:t>
      </w:r>
      <w:r w:rsidR="00B1065D">
        <w:rPr>
          <w:sz w:val="28"/>
          <w:szCs w:val="28"/>
        </w:rPr>
        <w:t>.</w:t>
      </w:r>
    </w:p>
    <w:p w:rsidR="00CC73CC" w:rsidRDefault="00CC73CC" w:rsidP="00651789">
      <w:pPr>
        <w:spacing w:line="360" w:lineRule="exact"/>
        <w:ind w:firstLine="709"/>
        <w:jc w:val="center"/>
        <w:rPr>
          <w:b/>
          <w:bCs/>
          <w:i/>
          <w:sz w:val="28"/>
          <w:szCs w:val="28"/>
        </w:rPr>
      </w:pPr>
    </w:p>
    <w:p w:rsidR="00CC73CC" w:rsidRDefault="00CC73CC" w:rsidP="00651789">
      <w:pPr>
        <w:spacing w:line="360" w:lineRule="exact"/>
        <w:ind w:firstLine="709"/>
        <w:jc w:val="center"/>
        <w:rPr>
          <w:b/>
          <w:bCs/>
          <w:i/>
          <w:sz w:val="28"/>
          <w:szCs w:val="28"/>
        </w:rPr>
      </w:pPr>
      <w:r w:rsidRPr="00CE13C7">
        <w:rPr>
          <w:b/>
          <w:bCs/>
          <w:i/>
          <w:sz w:val="28"/>
          <w:szCs w:val="28"/>
        </w:rPr>
        <w:t>3. Особенности формирования проекта бюджета Соликамского городского округа</w:t>
      </w:r>
    </w:p>
    <w:p w:rsidR="00CC73CC" w:rsidRPr="00CE13C7" w:rsidRDefault="00000975" w:rsidP="00651789">
      <w:pPr>
        <w:spacing w:line="360" w:lineRule="exact"/>
        <w:ind w:firstLine="709"/>
        <w:jc w:val="both"/>
        <w:rPr>
          <w:bCs/>
          <w:sz w:val="28"/>
          <w:szCs w:val="28"/>
        </w:rPr>
      </w:pPr>
      <w:r>
        <w:rPr>
          <w:bCs/>
          <w:sz w:val="28"/>
          <w:szCs w:val="28"/>
        </w:rPr>
        <w:t>1</w:t>
      </w:r>
      <w:r w:rsidR="00CC73CC">
        <w:rPr>
          <w:bCs/>
          <w:sz w:val="28"/>
          <w:szCs w:val="28"/>
        </w:rPr>
        <w:t xml:space="preserve">. </w:t>
      </w:r>
      <w:r w:rsidR="00CC73CC" w:rsidRPr="00CE13C7">
        <w:rPr>
          <w:bCs/>
          <w:sz w:val="28"/>
          <w:szCs w:val="28"/>
        </w:rPr>
        <w:t>В соответствии с Бюджетным кодексом Российской Федерации, законом Пермского края «О бюджетном процессе в Пермском крае», Положением о бюджетном процессе в Соликамском городском округе проект бюджета составлен на три года: 20</w:t>
      </w:r>
      <w:r>
        <w:rPr>
          <w:bCs/>
          <w:sz w:val="28"/>
          <w:szCs w:val="28"/>
        </w:rPr>
        <w:t>2</w:t>
      </w:r>
      <w:r w:rsidR="00E66ABB">
        <w:rPr>
          <w:bCs/>
          <w:sz w:val="28"/>
          <w:szCs w:val="28"/>
        </w:rPr>
        <w:t>1</w:t>
      </w:r>
      <w:r w:rsidR="00CC73CC" w:rsidRPr="00CE13C7">
        <w:rPr>
          <w:bCs/>
          <w:sz w:val="28"/>
          <w:szCs w:val="28"/>
        </w:rPr>
        <w:t>,</w:t>
      </w:r>
      <w:r w:rsidR="00CC73CC">
        <w:rPr>
          <w:bCs/>
          <w:sz w:val="28"/>
          <w:szCs w:val="28"/>
        </w:rPr>
        <w:t xml:space="preserve"> 202</w:t>
      </w:r>
      <w:r w:rsidR="00E66ABB">
        <w:rPr>
          <w:bCs/>
          <w:sz w:val="28"/>
          <w:szCs w:val="28"/>
        </w:rPr>
        <w:t>2</w:t>
      </w:r>
      <w:r w:rsidR="00CC73CC">
        <w:rPr>
          <w:bCs/>
          <w:sz w:val="28"/>
          <w:szCs w:val="28"/>
        </w:rPr>
        <w:t xml:space="preserve">, </w:t>
      </w:r>
      <w:r w:rsidR="00CC73CC" w:rsidRPr="00CE13C7">
        <w:rPr>
          <w:bCs/>
          <w:sz w:val="28"/>
          <w:szCs w:val="28"/>
        </w:rPr>
        <w:t>20</w:t>
      </w:r>
      <w:r w:rsidR="00CC73CC">
        <w:rPr>
          <w:bCs/>
          <w:sz w:val="28"/>
          <w:szCs w:val="28"/>
        </w:rPr>
        <w:t>2</w:t>
      </w:r>
      <w:r w:rsidR="00E66ABB">
        <w:rPr>
          <w:bCs/>
          <w:sz w:val="28"/>
          <w:szCs w:val="28"/>
        </w:rPr>
        <w:t>3</w:t>
      </w:r>
      <w:r w:rsidR="00CC73CC" w:rsidRPr="00CE13C7">
        <w:rPr>
          <w:bCs/>
          <w:sz w:val="28"/>
          <w:szCs w:val="28"/>
        </w:rPr>
        <w:t>.</w:t>
      </w:r>
    </w:p>
    <w:p w:rsidR="00005F79" w:rsidRDefault="00000975" w:rsidP="00651789">
      <w:pPr>
        <w:spacing w:line="360" w:lineRule="exact"/>
        <w:ind w:firstLine="709"/>
        <w:jc w:val="both"/>
        <w:rPr>
          <w:bCs/>
          <w:sz w:val="28"/>
          <w:szCs w:val="28"/>
        </w:rPr>
      </w:pPr>
      <w:r>
        <w:rPr>
          <w:bCs/>
          <w:sz w:val="28"/>
          <w:szCs w:val="28"/>
        </w:rPr>
        <w:t>2</w:t>
      </w:r>
      <w:r w:rsidR="00CC73CC">
        <w:rPr>
          <w:bCs/>
          <w:sz w:val="28"/>
          <w:szCs w:val="28"/>
        </w:rPr>
        <w:t xml:space="preserve">. </w:t>
      </w:r>
      <w:r w:rsidR="00CC73CC" w:rsidRPr="00CE13C7">
        <w:rPr>
          <w:bCs/>
          <w:sz w:val="28"/>
          <w:szCs w:val="28"/>
        </w:rPr>
        <w:t>Проект бюджета СГО на 20</w:t>
      </w:r>
      <w:r>
        <w:rPr>
          <w:bCs/>
          <w:sz w:val="28"/>
          <w:szCs w:val="28"/>
        </w:rPr>
        <w:t>2</w:t>
      </w:r>
      <w:r w:rsidR="00E66ABB">
        <w:rPr>
          <w:bCs/>
          <w:sz w:val="28"/>
          <w:szCs w:val="28"/>
        </w:rPr>
        <w:t>1</w:t>
      </w:r>
      <w:r w:rsidR="00CC73CC">
        <w:rPr>
          <w:bCs/>
          <w:sz w:val="28"/>
          <w:szCs w:val="28"/>
        </w:rPr>
        <w:t xml:space="preserve"> год и на плановый период 202</w:t>
      </w:r>
      <w:r w:rsidR="00E66ABB">
        <w:rPr>
          <w:bCs/>
          <w:sz w:val="28"/>
          <w:szCs w:val="28"/>
        </w:rPr>
        <w:t>2</w:t>
      </w:r>
      <w:r w:rsidR="00CC73CC" w:rsidRPr="00CE13C7">
        <w:rPr>
          <w:bCs/>
          <w:sz w:val="28"/>
          <w:szCs w:val="28"/>
        </w:rPr>
        <w:t xml:space="preserve"> и 20</w:t>
      </w:r>
      <w:r w:rsidR="00CC73CC">
        <w:rPr>
          <w:bCs/>
          <w:sz w:val="28"/>
          <w:szCs w:val="28"/>
        </w:rPr>
        <w:t>2</w:t>
      </w:r>
      <w:r w:rsidR="00E66ABB">
        <w:rPr>
          <w:bCs/>
          <w:sz w:val="28"/>
          <w:szCs w:val="28"/>
        </w:rPr>
        <w:t>3</w:t>
      </w:r>
      <w:r w:rsidR="00CC73CC" w:rsidRPr="00CE13C7">
        <w:rPr>
          <w:bCs/>
          <w:sz w:val="28"/>
          <w:szCs w:val="28"/>
        </w:rPr>
        <w:t xml:space="preserve"> годы по расходам сформирован в программной структуре расходов</w:t>
      </w:r>
      <w:r w:rsidR="00CC73CC">
        <w:rPr>
          <w:bCs/>
          <w:sz w:val="28"/>
          <w:szCs w:val="28"/>
        </w:rPr>
        <w:t>, на о</w:t>
      </w:r>
      <w:r w:rsidR="00CC73CC" w:rsidRPr="00015107">
        <w:rPr>
          <w:bCs/>
          <w:sz w:val="28"/>
          <w:szCs w:val="28"/>
        </w:rPr>
        <w:t xml:space="preserve">сновании </w:t>
      </w:r>
      <w:r w:rsidR="00E66ABB">
        <w:rPr>
          <w:bCs/>
          <w:sz w:val="28"/>
          <w:szCs w:val="28"/>
        </w:rPr>
        <w:t>9</w:t>
      </w:r>
      <w:r w:rsidR="00CC73CC" w:rsidRPr="00015107">
        <w:rPr>
          <w:bCs/>
          <w:sz w:val="28"/>
          <w:szCs w:val="28"/>
        </w:rPr>
        <w:t xml:space="preserve"> муниципальных программ в соответствии с перечнем, утвержденным постановлением администрации города Соликамска № 1</w:t>
      </w:r>
      <w:r w:rsidR="00CC73CC">
        <w:rPr>
          <w:bCs/>
          <w:sz w:val="28"/>
          <w:szCs w:val="28"/>
        </w:rPr>
        <w:t>714</w:t>
      </w:r>
      <w:r w:rsidR="00CC73CC" w:rsidRPr="00015107">
        <w:rPr>
          <w:bCs/>
          <w:sz w:val="28"/>
          <w:szCs w:val="28"/>
        </w:rPr>
        <w:t xml:space="preserve">-па от </w:t>
      </w:r>
      <w:r w:rsidR="00CC73CC">
        <w:rPr>
          <w:bCs/>
          <w:sz w:val="28"/>
          <w:szCs w:val="28"/>
        </w:rPr>
        <w:t>06</w:t>
      </w:r>
      <w:r w:rsidR="00CC73CC" w:rsidRPr="00015107">
        <w:rPr>
          <w:bCs/>
          <w:sz w:val="28"/>
          <w:szCs w:val="28"/>
        </w:rPr>
        <w:t>.1</w:t>
      </w:r>
      <w:r w:rsidR="00CC73CC">
        <w:rPr>
          <w:bCs/>
          <w:sz w:val="28"/>
          <w:szCs w:val="28"/>
        </w:rPr>
        <w:t>1</w:t>
      </w:r>
      <w:r w:rsidR="00CC73CC" w:rsidRPr="00015107">
        <w:rPr>
          <w:bCs/>
          <w:sz w:val="28"/>
          <w:szCs w:val="28"/>
        </w:rPr>
        <w:t>.201</w:t>
      </w:r>
      <w:r w:rsidR="00CC73CC">
        <w:rPr>
          <w:bCs/>
          <w:sz w:val="28"/>
          <w:szCs w:val="28"/>
        </w:rPr>
        <w:t>3</w:t>
      </w:r>
      <w:r w:rsidR="00CC73CC" w:rsidRPr="00015107">
        <w:rPr>
          <w:bCs/>
          <w:sz w:val="28"/>
          <w:szCs w:val="28"/>
        </w:rPr>
        <w:t>г.</w:t>
      </w:r>
      <w:r w:rsidR="00CC73CC">
        <w:rPr>
          <w:bCs/>
          <w:sz w:val="28"/>
          <w:szCs w:val="28"/>
        </w:rPr>
        <w:t xml:space="preserve"> </w:t>
      </w:r>
      <w:r w:rsidR="00CC73CC" w:rsidRPr="00215C63">
        <w:rPr>
          <w:bCs/>
          <w:sz w:val="28"/>
          <w:szCs w:val="28"/>
        </w:rPr>
        <w:t xml:space="preserve">(в редакции Постановления администрации </w:t>
      </w:r>
      <w:r w:rsidR="002D014A">
        <w:rPr>
          <w:bCs/>
          <w:sz w:val="28"/>
          <w:szCs w:val="28"/>
        </w:rPr>
        <w:t>Соликамского городского округа</w:t>
      </w:r>
      <w:r w:rsidR="00CC73CC" w:rsidRPr="00215C63">
        <w:rPr>
          <w:bCs/>
          <w:sz w:val="28"/>
          <w:szCs w:val="28"/>
        </w:rPr>
        <w:t xml:space="preserve"> № </w:t>
      </w:r>
      <w:r w:rsidR="002D014A">
        <w:rPr>
          <w:bCs/>
          <w:sz w:val="28"/>
          <w:szCs w:val="28"/>
        </w:rPr>
        <w:t>489</w:t>
      </w:r>
      <w:r w:rsidR="00CC73CC" w:rsidRPr="00215C63">
        <w:rPr>
          <w:bCs/>
          <w:sz w:val="28"/>
          <w:szCs w:val="28"/>
        </w:rPr>
        <w:t xml:space="preserve">-па от </w:t>
      </w:r>
      <w:r w:rsidR="002D014A">
        <w:rPr>
          <w:bCs/>
          <w:sz w:val="28"/>
          <w:szCs w:val="28"/>
        </w:rPr>
        <w:t>16</w:t>
      </w:r>
      <w:r w:rsidR="00CC73CC" w:rsidRPr="00215C63">
        <w:rPr>
          <w:bCs/>
          <w:sz w:val="28"/>
          <w:szCs w:val="28"/>
        </w:rPr>
        <w:t>.0</w:t>
      </w:r>
      <w:r w:rsidR="002D014A">
        <w:rPr>
          <w:bCs/>
          <w:sz w:val="28"/>
          <w:szCs w:val="28"/>
        </w:rPr>
        <w:t>3</w:t>
      </w:r>
      <w:r w:rsidR="00CC73CC" w:rsidRPr="00215C63">
        <w:rPr>
          <w:bCs/>
          <w:sz w:val="28"/>
          <w:szCs w:val="28"/>
        </w:rPr>
        <w:t>.20</w:t>
      </w:r>
      <w:r w:rsidR="002D014A">
        <w:rPr>
          <w:bCs/>
          <w:sz w:val="28"/>
          <w:szCs w:val="28"/>
        </w:rPr>
        <w:t xml:space="preserve">20 </w:t>
      </w:r>
      <w:r w:rsidR="00CC73CC" w:rsidRPr="00215C63">
        <w:rPr>
          <w:bCs/>
          <w:sz w:val="28"/>
          <w:szCs w:val="28"/>
        </w:rPr>
        <w:t>г.)</w:t>
      </w:r>
      <w:r w:rsidR="00CC73CC">
        <w:rPr>
          <w:bCs/>
          <w:sz w:val="28"/>
          <w:szCs w:val="28"/>
        </w:rPr>
        <w:t>.</w:t>
      </w:r>
      <w:r w:rsidR="00CC73CC" w:rsidRPr="00015107">
        <w:rPr>
          <w:bCs/>
          <w:sz w:val="28"/>
          <w:szCs w:val="28"/>
        </w:rPr>
        <w:t xml:space="preserve"> </w:t>
      </w:r>
      <w:r w:rsidR="00CC73CC">
        <w:rPr>
          <w:bCs/>
          <w:sz w:val="28"/>
          <w:szCs w:val="28"/>
        </w:rPr>
        <w:t xml:space="preserve">Изменения в  муниципальные программы одобрены Экспертным советом (протокол № </w:t>
      </w:r>
      <w:r w:rsidR="00CC73CC" w:rsidRPr="00870DD8">
        <w:rPr>
          <w:bCs/>
          <w:sz w:val="28"/>
          <w:szCs w:val="28"/>
        </w:rPr>
        <w:t>1</w:t>
      </w:r>
      <w:r w:rsidR="00870DD8" w:rsidRPr="00870DD8">
        <w:rPr>
          <w:bCs/>
          <w:sz w:val="28"/>
          <w:szCs w:val="28"/>
        </w:rPr>
        <w:t>6</w:t>
      </w:r>
      <w:r w:rsidR="00CC73CC" w:rsidRPr="00870DD8">
        <w:rPr>
          <w:bCs/>
          <w:sz w:val="28"/>
          <w:szCs w:val="28"/>
        </w:rPr>
        <w:t xml:space="preserve"> от </w:t>
      </w:r>
      <w:r w:rsidR="00A461A2" w:rsidRPr="00870DD8">
        <w:rPr>
          <w:bCs/>
          <w:sz w:val="28"/>
          <w:szCs w:val="28"/>
        </w:rPr>
        <w:t>1</w:t>
      </w:r>
      <w:r w:rsidR="00870DD8" w:rsidRPr="00870DD8">
        <w:rPr>
          <w:bCs/>
          <w:sz w:val="28"/>
          <w:szCs w:val="28"/>
        </w:rPr>
        <w:t>3</w:t>
      </w:r>
      <w:r w:rsidR="00CC73CC" w:rsidRPr="00870DD8">
        <w:rPr>
          <w:bCs/>
          <w:sz w:val="28"/>
          <w:szCs w:val="28"/>
        </w:rPr>
        <w:t>.10.20</w:t>
      </w:r>
      <w:r w:rsidR="00870DD8" w:rsidRPr="00870DD8">
        <w:rPr>
          <w:bCs/>
          <w:sz w:val="28"/>
          <w:szCs w:val="28"/>
        </w:rPr>
        <w:t>20</w:t>
      </w:r>
      <w:r w:rsidR="00CC73CC" w:rsidRPr="00FF304E">
        <w:rPr>
          <w:bCs/>
          <w:sz w:val="28"/>
          <w:szCs w:val="28"/>
        </w:rPr>
        <w:t xml:space="preserve"> г</w:t>
      </w:r>
      <w:r w:rsidR="00CC73CC">
        <w:rPr>
          <w:bCs/>
          <w:sz w:val="28"/>
          <w:szCs w:val="28"/>
        </w:rPr>
        <w:t>.)</w:t>
      </w:r>
      <w:r w:rsidR="00AF2305">
        <w:rPr>
          <w:bCs/>
          <w:sz w:val="28"/>
          <w:szCs w:val="28"/>
        </w:rPr>
        <w:t>,</w:t>
      </w:r>
      <w:r w:rsidR="00CC73CC">
        <w:rPr>
          <w:bCs/>
          <w:sz w:val="28"/>
          <w:szCs w:val="28"/>
        </w:rPr>
        <w:t xml:space="preserve"> утверждены постановлениями администрации </w:t>
      </w:r>
      <w:r w:rsidR="00005F79">
        <w:rPr>
          <w:bCs/>
          <w:sz w:val="28"/>
          <w:szCs w:val="28"/>
        </w:rPr>
        <w:t xml:space="preserve">Соликамского городского округа. </w:t>
      </w:r>
    </w:p>
    <w:p w:rsidR="00005F79" w:rsidRDefault="00005F79" w:rsidP="00651789">
      <w:pPr>
        <w:spacing w:line="360" w:lineRule="exact"/>
        <w:ind w:firstLine="709"/>
        <w:jc w:val="both"/>
        <w:rPr>
          <w:bCs/>
          <w:sz w:val="28"/>
          <w:szCs w:val="28"/>
        </w:rPr>
      </w:pPr>
      <w:r>
        <w:rPr>
          <w:bCs/>
          <w:sz w:val="28"/>
          <w:szCs w:val="28"/>
        </w:rPr>
        <w:t xml:space="preserve">При проверке установлено, что </w:t>
      </w:r>
      <w:r w:rsidR="00AF2305">
        <w:rPr>
          <w:bCs/>
          <w:sz w:val="28"/>
          <w:szCs w:val="28"/>
        </w:rPr>
        <w:t xml:space="preserve">изменения в </w:t>
      </w:r>
      <w:r w:rsidR="001C0888">
        <w:rPr>
          <w:bCs/>
          <w:sz w:val="28"/>
          <w:szCs w:val="28"/>
        </w:rPr>
        <w:t>3</w:t>
      </w:r>
      <w:r>
        <w:rPr>
          <w:bCs/>
          <w:sz w:val="28"/>
          <w:szCs w:val="28"/>
        </w:rPr>
        <w:t xml:space="preserve"> муниципальны</w:t>
      </w:r>
      <w:r w:rsidR="001C0888">
        <w:rPr>
          <w:bCs/>
          <w:sz w:val="28"/>
          <w:szCs w:val="28"/>
        </w:rPr>
        <w:t>е</w:t>
      </w:r>
      <w:r>
        <w:rPr>
          <w:bCs/>
          <w:sz w:val="28"/>
          <w:szCs w:val="28"/>
        </w:rPr>
        <w:t xml:space="preserve"> программ</w:t>
      </w:r>
      <w:r w:rsidR="001C0888">
        <w:rPr>
          <w:bCs/>
          <w:sz w:val="28"/>
          <w:szCs w:val="28"/>
        </w:rPr>
        <w:t>ы</w:t>
      </w:r>
      <w:r>
        <w:rPr>
          <w:bCs/>
          <w:sz w:val="28"/>
          <w:szCs w:val="28"/>
        </w:rPr>
        <w:t xml:space="preserve"> приняты после </w:t>
      </w:r>
      <w:r w:rsidRPr="00FF304E">
        <w:rPr>
          <w:bCs/>
          <w:sz w:val="28"/>
          <w:szCs w:val="28"/>
        </w:rPr>
        <w:t>2</w:t>
      </w:r>
      <w:r w:rsidR="00870DD8">
        <w:rPr>
          <w:bCs/>
          <w:sz w:val="28"/>
          <w:szCs w:val="28"/>
        </w:rPr>
        <w:t>1</w:t>
      </w:r>
      <w:r w:rsidRPr="00FF304E">
        <w:rPr>
          <w:bCs/>
          <w:sz w:val="28"/>
          <w:szCs w:val="28"/>
        </w:rPr>
        <w:t xml:space="preserve"> октября</w:t>
      </w:r>
      <w:r w:rsidR="00870DD8">
        <w:rPr>
          <w:bCs/>
          <w:sz w:val="28"/>
          <w:szCs w:val="28"/>
        </w:rPr>
        <w:t xml:space="preserve"> 2020</w:t>
      </w:r>
      <w:r>
        <w:rPr>
          <w:bCs/>
          <w:sz w:val="28"/>
          <w:szCs w:val="28"/>
        </w:rPr>
        <w:t xml:space="preserve"> г., т.е. с нарушением срока, установленн</w:t>
      </w:r>
      <w:r w:rsidR="00AF2305">
        <w:rPr>
          <w:bCs/>
          <w:sz w:val="28"/>
          <w:szCs w:val="28"/>
        </w:rPr>
        <w:t>ого решением экспертного совета</w:t>
      </w:r>
      <w:r>
        <w:rPr>
          <w:bCs/>
          <w:sz w:val="28"/>
          <w:szCs w:val="28"/>
        </w:rPr>
        <w:t>, в том числе:</w:t>
      </w:r>
    </w:p>
    <w:p w:rsidR="00CC73CC" w:rsidRPr="001C0888" w:rsidRDefault="00E67235" w:rsidP="00651789">
      <w:pPr>
        <w:pStyle w:val="a5"/>
        <w:numPr>
          <w:ilvl w:val="0"/>
          <w:numId w:val="14"/>
        </w:numPr>
        <w:spacing w:line="360" w:lineRule="exact"/>
        <w:ind w:left="0" w:firstLine="1069"/>
        <w:jc w:val="both"/>
        <w:rPr>
          <w:bCs/>
          <w:sz w:val="28"/>
          <w:szCs w:val="28"/>
        </w:rPr>
      </w:pPr>
      <w:r>
        <w:rPr>
          <w:bCs/>
          <w:sz w:val="28"/>
          <w:szCs w:val="28"/>
        </w:rPr>
        <w:t xml:space="preserve">МП </w:t>
      </w:r>
      <w:r w:rsidRPr="00E67235">
        <w:rPr>
          <w:bCs/>
          <w:sz w:val="28"/>
          <w:szCs w:val="28"/>
        </w:rPr>
        <w:t>"Развитие инфраструктуры и комфортной среды Соликамского городского округа"</w:t>
      </w:r>
      <w:r>
        <w:rPr>
          <w:bCs/>
          <w:sz w:val="28"/>
          <w:szCs w:val="28"/>
        </w:rPr>
        <w:t>;</w:t>
      </w:r>
    </w:p>
    <w:p w:rsidR="00E67235" w:rsidRDefault="00E67235" w:rsidP="00651789">
      <w:pPr>
        <w:pStyle w:val="a5"/>
        <w:numPr>
          <w:ilvl w:val="0"/>
          <w:numId w:val="14"/>
        </w:numPr>
        <w:spacing w:line="360" w:lineRule="exact"/>
        <w:ind w:left="0" w:firstLine="1069"/>
        <w:jc w:val="both"/>
        <w:rPr>
          <w:bCs/>
          <w:sz w:val="28"/>
          <w:szCs w:val="28"/>
        </w:rPr>
      </w:pPr>
      <w:r>
        <w:rPr>
          <w:bCs/>
          <w:sz w:val="28"/>
          <w:szCs w:val="28"/>
        </w:rPr>
        <w:lastRenderedPageBreak/>
        <w:t xml:space="preserve">МП </w:t>
      </w:r>
      <w:r w:rsidRPr="00E67235">
        <w:rPr>
          <w:bCs/>
          <w:sz w:val="28"/>
          <w:szCs w:val="28"/>
        </w:rPr>
        <w:t>"Развитие сферы культуры, туризма и молодежной политики Соликамского городского округа"</w:t>
      </w:r>
      <w:r>
        <w:rPr>
          <w:bCs/>
          <w:sz w:val="28"/>
          <w:szCs w:val="28"/>
        </w:rPr>
        <w:t>;</w:t>
      </w:r>
    </w:p>
    <w:p w:rsidR="00E67235" w:rsidRDefault="00E67235" w:rsidP="00651789">
      <w:pPr>
        <w:pStyle w:val="a5"/>
        <w:numPr>
          <w:ilvl w:val="0"/>
          <w:numId w:val="14"/>
        </w:numPr>
        <w:spacing w:line="360" w:lineRule="exact"/>
        <w:jc w:val="both"/>
        <w:rPr>
          <w:bCs/>
          <w:sz w:val="28"/>
          <w:szCs w:val="28"/>
        </w:rPr>
      </w:pPr>
      <w:r>
        <w:rPr>
          <w:bCs/>
          <w:sz w:val="28"/>
          <w:szCs w:val="28"/>
        </w:rPr>
        <w:t xml:space="preserve">МП </w:t>
      </w:r>
      <w:r w:rsidRPr="00E67235">
        <w:rPr>
          <w:bCs/>
          <w:sz w:val="28"/>
          <w:szCs w:val="28"/>
        </w:rPr>
        <w:t>"Развитие системы образования Соликамского городского округа"</w:t>
      </w:r>
      <w:r w:rsidR="001C0888">
        <w:rPr>
          <w:bCs/>
          <w:sz w:val="28"/>
          <w:szCs w:val="28"/>
        </w:rPr>
        <w:t>.</w:t>
      </w:r>
    </w:p>
    <w:p w:rsidR="001C0888" w:rsidRDefault="001C0888" w:rsidP="00651789">
      <w:pPr>
        <w:widowControl w:val="0"/>
        <w:spacing w:line="360" w:lineRule="exact"/>
        <w:ind w:firstLine="709"/>
        <w:jc w:val="center"/>
        <w:outlineLvl w:val="3"/>
        <w:rPr>
          <w:b/>
          <w:i/>
          <w:iCs/>
          <w:sz w:val="28"/>
          <w:szCs w:val="28"/>
        </w:rPr>
      </w:pPr>
    </w:p>
    <w:p w:rsidR="00CC73CC" w:rsidRDefault="00CC73CC" w:rsidP="00651789">
      <w:pPr>
        <w:widowControl w:val="0"/>
        <w:spacing w:line="360" w:lineRule="exact"/>
        <w:ind w:firstLine="709"/>
        <w:jc w:val="center"/>
        <w:outlineLvl w:val="3"/>
        <w:rPr>
          <w:b/>
          <w:bCs/>
          <w:i/>
          <w:iCs/>
          <w:sz w:val="28"/>
          <w:szCs w:val="28"/>
        </w:rPr>
      </w:pPr>
      <w:r w:rsidRPr="00CE13C7">
        <w:rPr>
          <w:b/>
          <w:i/>
          <w:iCs/>
          <w:sz w:val="28"/>
          <w:szCs w:val="28"/>
        </w:rPr>
        <w:t>4</w:t>
      </w:r>
      <w:r w:rsidRPr="00CE13C7">
        <w:rPr>
          <w:iCs/>
          <w:sz w:val="28"/>
          <w:szCs w:val="28"/>
        </w:rPr>
        <w:t>.</w:t>
      </w:r>
      <w:r w:rsidRPr="00CE13C7">
        <w:rPr>
          <w:b/>
          <w:bCs/>
          <w:i/>
          <w:iCs/>
          <w:sz w:val="28"/>
          <w:szCs w:val="28"/>
        </w:rPr>
        <w:t xml:space="preserve"> Анализ параметров  прогноза исходных показателей для составления проекта бюджета  Соликамского городского округа на 20</w:t>
      </w:r>
      <w:r w:rsidR="00F778D1">
        <w:rPr>
          <w:b/>
          <w:bCs/>
          <w:i/>
          <w:iCs/>
          <w:sz w:val="28"/>
          <w:szCs w:val="28"/>
        </w:rPr>
        <w:t>2</w:t>
      </w:r>
      <w:r w:rsidR="000A7B5D">
        <w:rPr>
          <w:b/>
          <w:bCs/>
          <w:i/>
          <w:iCs/>
          <w:sz w:val="28"/>
          <w:szCs w:val="28"/>
        </w:rPr>
        <w:t>1</w:t>
      </w:r>
      <w:r w:rsidRPr="00CE13C7">
        <w:rPr>
          <w:b/>
          <w:bCs/>
          <w:i/>
          <w:iCs/>
          <w:sz w:val="28"/>
          <w:szCs w:val="28"/>
        </w:rPr>
        <w:t xml:space="preserve"> г. и  плановый период 20</w:t>
      </w:r>
      <w:r>
        <w:rPr>
          <w:b/>
          <w:bCs/>
          <w:i/>
          <w:iCs/>
          <w:sz w:val="28"/>
          <w:szCs w:val="28"/>
        </w:rPr>
        <w:t>2</w:t>
      </w:r>
      <w:r w:rsidR="000A7B5D">
        <w:rPr>
          <w:b/>
          <w:bCs/>
          <w:i/>
          <w:iCs/>
          <w:sz w:val="28"/>
          <w:szCs w:val="28"/>
        </w:rPr>
        <w:t>2</w:t>
      </w:r>
      <w:r w:rsidRPr="00CE13C7">
        <w:rPr>
          <w:b/>
          <w:bCs/>
          <w:i/>
          <w:iCs/>
          <w:sz w:val="28"/>
          <w:szCs w:val="28"/>
        </w:rPr>
        <w:t xml:space="preserve"> и 20</w:t>
      </w:r>
      <w:r>
        <w:rPr>
          <w:b/>
          <w:bCs/>
          <w:i/>
          <w:iCs/>
          <w:sz w:val="28"/>
          <w:szCs w:val="28"/>
        </w:rPr>
        <w:t>2</w:t>
      </w:r>
      <w:r w:rsidR="000A7B5D">
        <w:rPr>
          <w:b/>
          <w:bCs/>
          <w:i/>
          <w:iCs/>
          <w:sz w:val="28"/>
          <w:szCs w:val="28"/>
        </w:rPr>
        <w:t>3</w:t>
      </w:r>
      <w:r w:rsidRPr="00CE13C7">
        <w:rPr>
          <w:b/>
          <w:bCs/>
          <w:i/>
          <w:iCs/>
          <w:sz w:val="28"/>
          <w:szCs w:val="28"/>
        </w:rPr>
        <w:t xml:space="preserve"> годы</w:t>
      </w:r>
    </w:p>
    <w:p w:rsidR="00CC73CC" w:rsidRPr="002F4D88" w:rsidRDefault="00CC73CC" w:rsidP="00651789">
      <w:pPr>
        <w:spacing w:line="360" w:lineRule="exact"/>
        <w:ind w:firstLine="709"/>
        <w:jc w:val="both"/>
        <w:rPr>
          <w:sz w:val="28"/>
          <w:szCs w:val="28"/>
        </w:rPr>
      </w:pPr>
      <w:r w:rsidRPr="002F4D88">
        <w:rPr>
          <w:bCs/>
          <w:iCs/>
          <w:sz w:val="28"/>
          <w:szCs w:val="28"/>
        </w:rPr>
        <w:t>В соответствии со ст.12</w:t>
      </w:r>
      <w:r w:rsidRPr="002F4D88">
        <w:rPr>
          <w:sz w:val="28"/>
          <w:szCs w:val="28"/>
        </w:rPr>
        <w:t xml:space="preserve"> Положения о бюджетном процессе в СГО в основе составления проекта бюджета лежит прогноз социально-экономического развития Соликамского городского округа (далее – Прогноз, прогноз социально-экономического развития СГО). </w:t>
      </w:r>
    </w:p>
    <w:p w:rsidR="00CC73CC" w:rsidRDefault="00CC73CC" w:rsidP="00651789">
      <w:pPr>
        <w:shd w:val="clear" w:color="auto" w:fill="FFFFFF"/>
        <w:spacing w:line="360" w:lineRule="exact"/>
        <w:ind w:firstLine="709"/>
        <w:jc w:val="both"/>
        <w:rPr>
          <w:sz w:val="28"/>
          <w:szCs w:val="28"/>
        </w:rPr>
      </w:pPr>
      <w:r w:rsidRPr="002F4D88">
        <w:rPr>
          <w:sz w:val="28"/>
          <w:szCs w:val="28"/>
        </w:rPr>
        <w:t xml:space="preserve"> Поступивший на рассмотрение Прогноз содержит показатели в различных сферах развития городского округа, представленные в 2 вариантах сценарных условий: </w:t>
      </w:r>
      <w:r w:rsidRPr="002E4E8D">
        <w:rPr>
          <w:sz w:val="28"/>
          <w:szCs w:val="28"/>
        </w:rPr>
        <w:t>«пессимистический» и «базовый».</w:t>
      </w:r>
      <w:r w:rsidRPr="0094318A">
        <w:rPr>
          <w:sz w:val="28"/>
          <w:szCs w:val="28"/>
          <w:highlight w:val="yellow"/>
        </w:rPr>
        <w:t xml:space="preserve"> </w:t>
      </w:r>
    </w:p>
    <w:p w:rsidR="00CC73CC" w:rsidRPr="00CE13C7" w:rsidRDefault="00CC73CC" w:rsidP="00651789">
      <w:pPr>
        <w:spacing w:line="360" w:lineRule="exact"/>
        <w:ind w:firstLine="709"/>
        <w:jc w:val="both"/>
        <w:rPr>
          <w:sz w:val="28"/>
          <w:szCs w:val="28"/>
        </w:rPr>
      </w:pPr>
      <w:r w:rsidRPr="00CE13C7">
        <w:rPr>
          <w:sz w:val="28"/>
          <w:szCs w:val="28"/>
        </w:rPr>
        <w:t>В ходе проверки проанализирована работа по составлению прогноза и показателей проекта бюджета, проверено наличие и оценено состояние нормативной и методологической базы, регулирующей порядок их формирования и расчетов основных показателей.</w:t>
      </w:r>
    </w:p>
    <w:p w:rsidR="00CC73CC" w:rsidRDefault="00CC73CC" w:rsidP="00651789">
      <w:pPr>
        <w:spacing w:line="360" w:lineRule="exact"/>
        <w:ind w:firstLine="709"/>
        <w:jc w:val="both"/>
        <w:rPr>
          <w:color w:val="000000"/>
          <w:spacing w:val="-3"/>
          <w:sz w:val="28"/>
          <w:szCs w:val="28"/>
        </w:rPr>
      </w:pPr>
      <w:r w:rsidRPr="00CE13C7">
        <w:rPr>
          <w:color w:val="000000"/>
          <w:spacing w:val="-3"/>
          <w:sz w:val="28"/>
          <w:szCs w:val="28"/>
        </w:rPr>
        <w:t xml:space="preserve">В соответствии со ст. 173 Бюджетного кодекса РФ прогноз социально-экономического развития разрабатывается в порядке, установленном местной администрацией. Порядок разработки прогноза социально-экономического развития </w:t>
      </w:r>
      <w:r w:rsidR="000579E3">
        <w:rPr>
          <w:color w:val="000000"/>
          <w:spacing w:val="-3"/>
          <w:sz w:val="28"/>
          <w:szCs w:val="28"/>
        </w:rPr>
        <w:t>Соликамского городского округа</w:t>
      </w:r>
      <w:r w:rsidRPr="00CE13C7">
        <w:rPr>
          <w:color w:val="000000"/>
          <w:spacing w:val="-3"/>
          <w:sz w:val="28"/>
          <w:szCs w:val="28"/>
        </w:rPr>
        <w:t xml:space="preserve">  утвержден постановлением  администрации </w:t>
      </w:r>
      <w:r w:rsidR="000579E3">
        <w:rPr>
          <w:color w:val="000000"/>
          <w:spacing w:val="-3"/>
          <w:sz w:val="28"/>
          <w:szCs w:val="28"/>
        </w:rPr>
        <w:t>СГО</w:t>
      </w:r>
      <w:r w:rsidRPr="00CE13C7">
        <w:rPr>
          <w:color w:val="000000"/>
          <w:spacing w:val="-3"/>
          <w:sz w:val="28"/>
          <w:szCs w:val="28"/>
        </w:rPr>
        <w:t xml:space="preserve"> </w:t>
      </w:r>
      <w:r w:rsidRPr="00544BF9">
        <w:rPr>
          <w:color w:val="000000"/>
          <w:spacing w:val="-3"/>
          <w:sz w:val="28"/>
          <w:szCs w:val="28"/>
        </w:rPr>
        <w:t xml:space="preserve">от </w:t>
      </w:r>
      <w:r w:rsidR="000579E3">
        <w:rPr>
          <w:color w:val="000000"/>
          <w:spacing w:val="-3"/>
          <w:sz w:val="28"/>
          <w:szCs w:val="28"/>
        </w:rPr>
        <w:t>17</w:t>
      </w:r>
      <w:r w:rsidRPr="00544BF9">
        <w:rPr>
          <w:color w:val="000000"/>
          <w:spacing w:val="-3"/>
          <w:sz w:val="28"/>
          <w:szCs w:val="28"/>
        </w:rPr>
        <w:t>.0</w:t>
      </w:r>
      <w:r w:rsidR="000579E3">
        <w:rPr>
          <w:color w:val="000000"/>
          <w:spacing w:val="-3"/>
          <w:sz w:val="28"/>
          <w:szCs w:val="28"/>
        </w:rPr>
        <w:t>2</w:t>
      </w:r>
      <w:r w:rsidRPr="00544BF9">
        <w:rPr>
          <w:color w:val="000000"/>
          <w:spacing w:val="-3"/>
          <w:sz w:val="28"/>
          <w:szCs w:val="28"/>
        </w:rPr>
        <w:t>.20</w:t>
      </w:r>
      <w:r w:rsidR="000579E3">
        <w:rPr>
          <w:color w:val="000000"/>
          <w:spacing w:val="-3"/>
          <w:sz w:val="28"/>
          <w:szCs w:val="28"/>
        </w:rPr>
        <w:t>20 г. № 287</w:t>
      </w:r>
      <w:r w:rsidRPr="00544BF9">
        <w:rPr>
          <w:color w:val="000000"/>
          <w:spacing w:val="-3"/>
          <w:sz w:val="28"/>
          <w:szCs w:val="28"/>
        </w:rPr>
        <w:t>-па.</w:t>
      </w:r>
      <w:r w:rsidRPr="00CE13C7">
        <w:rPr>
          <w:color w:val="000000"/>
          <w:spacing w:val="-3"/>
          <w:sz w:val="28"/>
          <w:szCs w:val="28"/>
        </w:rPr>
        <w:t xml:space="preserve"> В соответствии с </w:t>
      </w:r>
      <w:r w:rsidRPr="003503BE">
        <w:rPr>
          <w:color w:val="000000"/>
          <w:spacing w:val="-3"/>
          <w:sz w:val="28"/>
          <w:szCs w:val="28"/>
        </w:rPr>
        <w:t>п.1.5</w:t>
      </w:r>
      <w:r w:rsidRPr="00CE13C7">
        <w:rPr>
          <w:color w:val="000000"/>
          <w:spacing w:val="-3"/>
          <w:sz w:val="28"/>
          <w:szCs w:val="28"/>
        </w:rPr>
        <w:t xml:space="preserve"> порядка: Прогноз социально-экономического развития Соликамского городского округа разрабатывается в соответствии с Бюджетным кодексом РФ, </w:t>
      </w:r>
      <w:r w:rsidRPr="00CE13C7">
        <w:rPr>
          <w:b/>
          <w:i/>
          <w:color w:val="000000"/>
          <w:spacing w:val="-3"/>
          <w:sz w:val="28"/>
          <w:szCs w:val="28"/>
        </w:rPr>
        <w:t xml:space="preserve">социально-экономической политикой, определенной Стратегией социально-экономического развития </w:t>
      </w:r>
      <w:r w:rsidRPr="003503BE">
        <w:rPr>
          <w:b/>
          <w:i/>
          <w:color w:val="000000"/>
          <w:spacing w:val="-3"/>
          <w:sz w:val="28"/>
          <w:szCs w:val="28"/>
        </w:rPr>
        <w:t>Соликамского городского округа</w:t>
      </w:r>
      <w:r w:rsidRPr="00CE13C7">
        <w:rPr>
          <w:b/>
          <w:i/>
          <w:color w:val="000000"/>
          <w:spacing w:val="-3"/>
          <w:sz w:val="28"/>
          <w:szCs w:val="28"/>
        </w:rPr>
        <w:t xml:space="preserve">, </w:t>
      </w:r>
      <w:r w:rsidRPr="00CE13C7">
        <w:rPr>
          <w:color w:val="000000"/>
          <w:spacing w:val="-3"/>
          <w:sz w:val="28"/>
          <w:szCs w:val="28"/>
        </w:rPr>
        <w:t xml:space="preserve">основными направлениями налоговой и бюджетной политики Соликамского городского округа. </w:t>
      </w:r>
    </w:p>
    <w:p w:rsidR="00CC73CC" w:rsidRDefault="00CC73CC" w:rsidP="00651789">
      <w:pPr>
        <w:spacing w:line="360" w:lineRule="exact"/>
        <w:ind w:firstLine="709"/>
        <w:jc w:val="both"/>
        <w:rPr>
          <w:sz w:val="28"/>
          <w:szCs w:val="28"/>
        </w:rPr>
      </w:pPr>
      <w:r w:rsidRPr="000E1D3B">
        <w:rPr>
          <w:sz w:val="28"/>
          <w:szCs w:val="28"/>
        </w:rPr>
        <w:t>П</w:t>
      </w:r>
      <w:r>
        <w:rPr>
          <w:sz w:val="28"/>
          <w:szCs w:val="28"/>
        </w:rPr>
        <w:t xml:space="preserve">ри </w:t>
      </w:r>
      <w:r w:rsidR="000E1D3B">
        <w:rPr>
          <w:sz w:val="28"/>
          <w:szCs w:val="28"/>
        </w:rPr>
        <w:t>разработке прогноза</w:t>
      </w:r>
      <w:r>
        <w:rPr>
          <w:sz w:val="28"/>
          <w:szCs w:val="28"/>
        </w:rPr>
        <w:t xml:space="preserve"> использовались</w:t>
      </w:r>
      <w:r w:rsidRPr="00C66054">
        <w:rPr>
          <w:sz w:val="28"/>
          <w:szCs w:val="28"/>
        </w:rPr>
        <w:t>:</w:t>
      </w:r>
    </w:p>
    <w:p w:rsidR="00CC73CC" w:rsidRDefault="00CC73CC" w:rsidP="00651789">
      <w:pPr>
        <w:pStyle w:val="a5"/>
        <w:numPr>
          <w:ilvl w:val="0"/>
          <w:numId w:val="7"/>
        </w:numPr>
        <w:spacing w:line="360" w:lineRule="exact"/>
        <w:ind w:left="0" w:firstLine="1069"/>
        <w:jc w:val="both"/>
        <w:rPr>
          <w:sz w:val="28"/>
          <w:szCs w:val="28"/>
        </w:rPr>
      </w:pPr>
      <w:r w:rsidRPr="00D80DD4">
        <w:rPr>
          <w:sz w:val="28"/>
          <w:szCs w:val="28"/>
        </w:rPr>
        <w:t>Стратеги</w:t>
      </w:r>
      <w:r>
        <w:rPr>
          <w:sz w:val="28"/>
          <w:szCs w:val="28"/>
        </w:rPr>
        <w:t>я</w:t>
      </w:r>
      <w:r w:rsidRPr="00D80DD4">
        <w:rPr>
          <w:sz w:val="28"/>
          <w:szCs w:val="28"/>
        </w:rPr>
        <w:t xml:space="preserve"> социально-экономического развития Соликамского городского округа до 2030 года;</w:t>
      </w:r>
    </w:p>
    <w:p w:rsidR="00616B4A" w:rsidRDefault="000E1D3B" w:rsidP="00651789">
      <w:pPr>
        <w:pStyle w:val="a5"/>
        <w:numPr>
          <w:ilvl w:val="0"/>
          <w:numId w:val="7"/>
        </w:numPr>
        <w:spacing w:line="360" w:lineRule="exact"/>
        <w:ind w:left="0" w:firstLine="1069"/>
        <w:jc w:val="both"/>
        <w:rPr>
          <w:sz w:val="28"/>
          <w:szCs w:val="28"/>
        </w:rPr>
      </w:pPr>
      <w:r>
        <w:rPr>
          <w:sz w:val="28"/>
          <w:szCs w:val="28"/>
        </w:rPr>
        <w:t>И</w:t>
      </w:r>
      <w:r w:rsidRPr="000E1D3B">
        <w:rPr>
          <w:sz w:val="28"/>
          <w:szCs w:val="28"/>
        </w:rPr>
        <w:t>тог</w:t>
      </w:r>
      <w:r>
        <w:rPr>
          <w:sz w:val="28"/>
          <w:szCs w:val="28"/>
        </w:rPr>
        <w:t>и</w:t>
      </w:r>
      <w:r w:rsidRPr="000E1D3B">
        <w:rPr>
          <w:sz w:val="28"/>
          <w:szCs w:val="28"/>
        </w:rPr>
        <w:t xml:space="preserve"> социально-экономического развития за 2019 год и оценки 2020 года</w:t>
      </w:r>
      <w:r>
        <w:rPr>
          <w:sz w:val="28"/>
          <w:szCs w:val="28"/>
        </w:rPr>
        <w:t>.</w:t>
      </w:r>
    </w:p>
    <w:p w:rsidR="000E1D3B" w:rsidRDefault="000E1D3B" w:rsidP="00651789">
      <w:pPr>
        <w:pStyle w:val="a5"/>
        <w:spacing w:line="360" w:lineRule="exact"/>
        <w:ind w:left="0"/>
        <w:jc w:val="both"/>
        <w:rPr>
          <w:sz w:val="28"/>
          <w:szCs w:val="28"/>
        </w:rPr>
      </w:pPr>
      <w:r>
        <w:rPr>
          <w:sz w:val="28"/>
          <w:szCs w:val="28"/>
        </w:rPr>
        <w:tab/>
        <w:t>Учитывались:</w:t>
      </w:r>
      <w:r w:rsidRPr="000E1D3B">
        <w:t xml:space="preserve"> </w:t>
      </w:r>
      <w:r w:rsidR="00512988">
        <w:rPr>
          <w:sz w:val="28"/>
          <w:szCs w:val="28"/>
        </w:rPr>
        <w:t>данные</w:t>
      </w:r>
      <w:r w:rsidRPr="000E1D3B">
        <w:rPr>
          <w:sz w:val="28"/>
          <w:szCs w:val="28"/>
        </w:rPr>
        <w:t xml:space="preserve"> </w:t>
      </w:r>
      <w:r w:rsidR="00BF1FF4">
        <w:rPr>
          <w:sz w:val="28"/>
          <w:szCs w:val="28"/>
        </w:rPr>
        <w:t>градообразующих предприятий, осуществляющих деятельность на территории СГО.</w:t>
      </w:r>
    </w:p>
    <w:p w:rsidR="00CC73CC" w:rsidRPr="00CE13C7" w:rsidRDefault="00CC73CC" w:rsidP="00651789">
      <w:pPr>
        <w:shd w:val="clear" w:color="auto" w:fill="FFFFFF"/>
        <w:spacing w:line="360" w:lineRule="exact"/>
        <w:ind w:firstLine="709"/>
        <w:jc w:val="both"/>
        <w:rPr>
          <w:color w:val="000000"/>
          <w:spacing w:val="-3"/>
          <w:sz w:val="28"/>
          <w:szCs w:val="28"/>
        </w:rPr>
      </w:pPr>
      <w:r w:rsidRPr="00CE13C7">
        <w:rPr>
          <w:color w:val="000000"/>
          <w:spacing w:val="-3"/>
          <w:sz w:val="28"/>
          <w:szCs w:val="28"/>
        </w:rPr>
        <w:t xml:space="preserve">Согласно п. 3 ст. 173 Бюджетного кодекса РФ перед внесением проекта решения о бюджете в </w:t>
      </w:r>
      <w:r w:rsidR="009B6FE9">
        <w:rPr>
          <w:color w:val="000000"/>
          <w:spacing w:val="-3"/>
          <w:sz w:val="28"/>
          <w:szCs w:val="28"/>
        </w:rPr>
        <w:t xml:space="preserve">Думу </w:t>
      </w:r>
      <w:r w:rsidRPr="00CE13C7">
        <w:rPr>
          <w:color w:val="000000"/>
          <w:spacing w:val="-3"/>
          <w:sz w:val="28"/>
          <w:szCs w:val="28"/>
        </w:rPr>
        <w:t>Соликамск</w:t>
      </w:r>
      <w:r w:rsidR="009B6FE9">
        <w:rPr>
          <w:color w:val="000000"/>
          <w:spacing w:val="-3"/>
          <w:sz w:val="28"/>
          <w:szCs w:val="28"/>
        </w:rPr>
        <w:t>ого</w:t>
      </w:r>
      <w:r w:rsidRPr="00CE13C7">
        <w:rPr>
          <w:color w:val="000000"/>
          <w:spacing w:val="-3"/>
          <w:sz w:val="28"/>
          <w:szCs w:val="28"/>
        </w:rPr>
        <w:t xml:space="preserve"> городск</w:t>
      </w:r>
      <w:r w:rsidR="009B6FE9">
        <w:rPr>
          <w:color w:val="000000"/>
          <w:spacing w:val="-3"/>
          <w:sz w:val="28"/>
          <w:szCs w:val="28"/>
        </w:rPr>
        <w:t>ого округа</w:t>
      </w:r>
      <w:r w:rsidRPr="00CE13C7">
        <w:rPr>
          <w:color w:val="000000"/>
          <w:spacing w:val="-3"/>
          <w:sz w:val="28"/>
          <w:szCs w:val="28"/>
        </w:rPr>
        <w:t xml:space="preserve"> прогноз социально-экономического развития должен быть одобрен администрацией </w:t>
      </w:r>
      <w:r w:rsidR="004E3355">
        <w:rPr>
          <w:color w:val="000000"/>
          <w:spacing w:val="-3"/>
          <w:sz w:val="28"/>
          <w:szCs w:val="28"/>
        </w:rPr>
        <w:t>СГО</w:t>
      </w:r>
      <w:r w:rsidRPr="00CE13C7">
        <w:rPr>
          <w:color w:val="000000"/>
          <w:spacing w:val="-3"/>
          <w:sz w:val="28"/>
          <w:szCs w:val="28"/>
        </w:rPr>
        <w:t xml:space="preserve">. </w:t>
      </w:r>
    </w:p>
    <w:p w:rsidR="00CC73CC" w:rsidRPr="00A15C59" w:rsidRDefault="00CC73CC" w:rsidP="00651789">
      <w:pPr>
        <w:shd w:val="clear" w:color="auto" w:fill="FFFFFF"/>
        <w:spacing w:line="360" w:lineRule="exact"/>
        <w:ind w:firstLine="709"/>
        <w:jc w:val="both"/>
        <w:rPr>
          <w:color w:val="000000"/>
          <w:spacing w:val="-3"/>
          <w:sz w:val="28"/>
          <w:szCs w:val="28"/>
        </w:rPr>
      </w:pPr>
      <w:r w:rsidRPr="00CE13C7">
        <w:rPr>
          <w:color w:val="000000"/>
          <w:spacing w:val="-3"/>
          <w:sz w:val="28"/>
          <w:szCs w:val="28"/>
        </w:rPr>
        <w:lastRenderedPageBreak/>
        <w:t xml:space="preserve">  </w:t>
      </w:r>
      <w:r w:rsidRPr="00A15C59">
        <w:rPr>
          <w:color w:val="000000"/>
          <w:spacing w:val="-3"/>
          <w:sz w:val="28"/>
          <w:szCs w:val="28"/>
        </w:rPr>
        <w:t>Уточненный прогноз социально-экономического развития Соликамского городского округа на 20</w:t>
      </w:r>
      <w:r w:rsidR="009B6FE9">
        <w:rPr>
          <w:color w:val="000000"/>
          <w:spacing w:val="-3"/>
          <w:sz w:val="28"/>
          <w:szCs w:val="28"/>
        </w:rPr>
        <w:t>2</w:t>
      </w:r>
      <w:r w:rsidR="00CB30B6">
        <w:rPr>
          <w:color w:val="000000"/>
          <w:spacing w:val="-3"/>
          <w:sz w:val="28"/>
          <w:szCs w:val="28"/>
        </w:rPr>
        <w:t>1</w:t>
      </w:r>
      <w:r w:rsidRPr="00A15C59">
        <w:rPr>
          <w:color w:val="000000"/>
          <w:spacing w:val="-3"/>
          <w:sz w:val="28"/>
          <w:szCs w:val="28"/>
        </w:rPr>
        <w:t xml:space="preserve"> год и период до 202</w:t>
      </w:r>
      <w:r w:rsidR="00CB30B6">
        <w:rPr>
          <w:color w:val="000000"/>
          <w:spacing w:val="-3"/>
          <w:sz w:val="28"/>
          <w:szCs w:val="28"/>
        </w:rPr>
        <w:t>3</w:t>
      </w:r>
      <w:r w:rsidRPr="00A15C59">
        <w:rPr>
          <w:color w:val="000000"/>
          <w:spacing w:val="-3"/>
          <w:sz w:val="28"/>
          <w:szCs w:val="28"/>
        </w:rPr>
        <w:t xml:space="preserve"> года одобрен постановлением администрации </w:t>
      </w:r>
      <w:r w:rsidR="00CB30B6">
        <w:rPr>
          <w:color w:val="000000"/>
          <w:spacing w:val="-3"/>
          <w:sz w:val="28"/>
          <w:szCs w:val="28"/>
        </w:rPr>
        <w:t>СГО</w:t>
      </w:r>
      <w:r w:rsidRPr="00A15C59">
        <w:rPr>
          <w:color w:val="000000"/>
          <w:spacing w:val="-3"/>
          <w:sz w:val="28"/>
          <w:szCs w:val="28"/>
        </w:rPr>
        <w:t xml:space="preserve"> </w:t>
      </w:r>
      <w:r w:rsidRPr="002E4E8D">
        <w:rPr>
          <w:color w:val="000000"/>
          <w:spacing w:val="-3"/>
          <w:sz w:val="28"/>
          <w:szCs w:val="28"/>
        </w:rPr>
        <w:t xml:space="preserve">от </w:t>
      </w:r>
      <w:r w:rsidR="00CB30B6">
        <w:rPr>
          <w:color w:val="000000"/>
          <w:spacing w:val="-3"/>
          <w:sz w:val="28"/>
          <w:szCs w:val="28"/>
        </w:rPr>
        <w:t>11</w:t>
      </w:r>
      <w:r w:rsidRPr="002E4E8D">
        <w:rPr>
          <w:color w:val="000000"/>
          <w:spacing w:val="-3"/>
          <w:sz w:val="28"/>
          <w:szCs w:val="28"/>
        </w:rPr>
        <w:t>.09.20</w:t>
      </w:r>
      <w:r w:rsidR="00CB30B6">
        <w:rPr>
          <w:color w:val="000000"/>
          <w:spacing w:val="-3"/>
          <w:sz w:val="28"/>
          <w:szCs w:val="28"/>
        </w:rPr>
        <w:t>20</w:t>
      </w:r>
      <w:r w:rsidR="002E4E8D" w:rsidRPr="002E4E8D">
        <w:rPr>
          <w:color w:val="000000"/>
          <w:spacing w:val="-3"/>
          <w:sz w:val="28"/>
          <w:szCs w:val="28"/>
        </w:rPr>
        <w:t xml:space="preserve"> г.</w:t>
      </w:r>
      <w:r w:rsidRPr="002E4E8D">
        <w:rPr>
          <w:color w:val="000000"/>
          <w:spacing w:val="-3"/>
          <w:sz w:val="28"/>
          <w:szCs w:val="28"/>
        </w:rPr>
        <w:t xml:space="preserve"> № 7-па</w:t>
      </w:r>
      <w:r w:rsidRPr="00A15C59">
        <w:rPr>
          <w:color w:val="000000"/>
          <w:spacing w:val="-3"/>
          <w:sz w:val="28"/>
          <w:szCs w:val="28"/>
        </w:rPr>
        <w:t xml:space="preserve">.   </w:t>
      </w:r>
    </w:p>
    <w:p w:rsidR="00FF2FE0" w:rsidRDefault="00CC73CC" w:rsidP="00651789">
      <w:pPr>
        <w:shd w:val="clear" w:color="auto" w:fill="FFFFFF"/>
        <w:spacing w:line="360" w:lineRule="exact"/>
        <w:ind w:firstLine="709"/>
        <w:jc w:val="both"/>
        <w:rPr>
          <w:sz w:val="28"/>
          <w:szCs w:val="28"/>
        </w:rPr>
      </w:pPr>
      <w:r w:rsidRPr="00CE13C7">
        <w:rPr>
          <w:sz w:val="28"/>
          <w:szCs w:val="28"/>
        </w:rPr>
        <w:t xml:space="preserve">    При формировании бюджета за основу </w:t>
      </w:r>
      <w:r w:rsidR="00CF5E85">
        <w:rPr>
          <w:sz w:val="28"/>
          <w:szCs w:val="28"/>
        </w:rPr>
        <w:t xml:space="preserve">принят базовый вариант </w:t>
      </w:r>
      <w:r w:rsidRPr="00CE13C7">
        <w:rPr>
          <w:sz w:val="28"/>
          <w:szCs w:val="28"/>
        </w:rPr>
        <w:t>сценарны</w:t>
      </w:r>
      <w:r w:rsidR="00CF5E85">
        <w:rPr>
          <w:sz w:val="28"/>
          <w:szCs w:val="28"/>
        </w:rPr>
        <w:t>х</w:t>
      </w:r>
      <w:r w:rsidRPr="00CE13C7">
        <w:rPr>
          <w:sz w:val="28"/>
          <w:szCs w:val="28"/>
        </w:rPr>
        <w:t xml:space="preserve"> услови</w:t>
      </w:r>
      <w:r w:rsidR="00CF5E85">
        <w:rPr>
          <w:sz w:val="28"/>
          <w:szCs w:val="28"/>
        </w:rPr>
        <w:t>й</w:t>
      </w:r>
      <w:r w:rsidRPr="00CE13C7">
        <w:rPr>
          <w:sz w:val="28"/>
          <w:szCs w:val="28"/>
        </w:rPr>
        <w:t xml:space="preserve"> социально-экономического развития </w:t>
      </w:r>
      <w:r>
        <w:rPr>
          <w:sz w:val="28"/>
          <w:szCs w:val="28"/>
        </w:rPr>
        <w:t xml:space="preserve">Пермского края и </w:t>
      </w:r>
      <w:r w:rsidR="002E4E8D">
        <w:rPr>
          <w:sz w:val="28"/>
          <w:szCs w:val="28"/>
        </w:rPr>
        <w:t>«</w:t>
      </w:r>
      <w:r w:rsidR="002E4E8D" w:rsidRPr="002E4E8D">
        <w:rPr>
          <w:sz w:val="28"/>
          <w:szCs w:val="28"/>
        </w:rPr>
        <w:t>базовый</w:t>
      </w:r>
      <w:r w:rsidR="002E4E8D">
        <w:rPr>
          <w:sz w:val="28"/>
          <w:szCs w:val="28"/>
        </w:rPr>
        <w:t xml:space="preserve">» вариант развития </w:t>
      </w:r>
      <w:r w:rsidRPr="00CE13C7">
        <w:rPr>
          <w:sz w:val="28"/>
          <w:szCs w:val="28"/>
        </w:rPr>
        <w:t>Соликамского городского округа на период 20</w:t>
      </w:r>
      <w:r w:rsidR="009B6FE9">
        <w:rPr>
          <w:sz w:val="28"/>
          <w:szCs w:val="28"/>
        </w:rPr>
        <w:t>2</w:t>
      </w:r>
      <w:r w:rsidR="003A5F0B">
        <w:rPr>
          <w:sz w:val="28"/>
          <w:szCs w:val="28"/>
        </w:rPr>
        <w:t>1</w:t>
      </w:r>
      <w:r w:rsidRPr="00CE13C7">
        <w:rPr>
          <w:sz w:val="28"/>
          <w:szCs w:val="28"/>
        </w:rPr>
        <w:t>-20</w:t>
      </w:r>
      <w:r>
        <w:rPr>
          <w:sz w:val="28"/>
          <w:szCs w:val="28"/>
        </w:rPr>
        <w:t>2</w:t>
      </w:r>
      <w:r w:rsidR="003A5F0B">
        <w:rPr>
          <w:sz w:val="28"/>
          <w:szCs w:val="28"/>
        </w:rPr>
        <w:t>3</w:t>
      </w:r>
      <w:r w:rsidRPr="00CE13C7">
        <w:rPr>
          <w:sz w:val="28"/>
          <w:szCs w:val="28"/>
        </w:rPr>
        <w:t xml:space="preserve"> г</w:t>
      </w:r>
      <w:r>
        <w:rPr>
          <w:sz w:val="28"/>
          <w:szCs w:val="28"/>
        </w:rPr>
        <w:t xml:space="preserve">. </w:t>
      </w:r>
      <w:r w:rsidRPr="00CE13C7">
        <w:rPr>
          <w:sz w:val="28"/>
          <w:szCs w:val="28"/>
        </w:rPr>
        <w:t xml:space="preserve">г., </w:t>
      </w:r>
      <w:r w:rsidR="00FA0C10" w:rsidRPr="00FA0C10">
        <w:rPr>
          <w:sz w:val="28"/>
          <w:szCs w:val="28"/>
        </w:rPr>
        <w:t>разработан</w:t>
      </w:r>
      <w:r w:rsidR="00FA0C10">
        <w:rPr>
          <w:sz w:val="28"/>
          <w:szCs w:val="28"/>
        </w:rPr>
        <w:t>н</w:t>
      </w:r>
      <w:r w:rsidR="00FA0C10" w:rsidRPr="00FA0C10">
        <w:rPr>
          <w:sz w:val="28"/>
          <w:szCs w:val="28"/>
        </w:rPr>
        <w:t>ы</w:t>
      </w:r>
      <w:r w:rsidR="001D4D5E">
        <w:rPr>
          <w:sz w:val="28"/>
          <w:szCs w:val="28"/>
        </w:rPr>
        <w:t>е</w:t>
      </w:r>
      <w:r w:rsidR="00FA0C10" w:rsidRPr="00FA0C10">
        <w:rPr>
          <w:sz w:val="28"/>
          <w:szCs w:val="28"/>
        </w:rPr>
        <w:t xml:space="preserve"> исходя из анализа внешнеполитических рисков</w:t>
      </w:r>
      <w:r w:rsidR="00FA0C10">
        <w:rPr>
          <w:sz w:val="28"/>
          <w:szCs w:val="28"/>
        </w:rPr>
        <w:t>,</w:t>
      </w:r>
      <w:r w:rsidR="00FA0C10" w:rsidRPr="00FA0C10">
        <w:rPr>
          <w:sz w:val="28"/>
          <w:szCs w:val="28"/>
        </w:rPr>
        <w:t xml:space="preserve"> </w:t>
      </w:r>
      <w:r w:rsidR="00FF2FE0" w:rsidRPr="00FF2FE0">
        <w:rPr>
          <w:sz w:val="28"/>
          <w:szCs w:val="28"/>
          <w:lang w:val="x-none"/>
        </w:rPr>
        <w:t xml:space="preserve">с учетом оценки негативного влияния на экономику событий 2020 года, связанных с распространением новой </w:t>
      </w:r>
      <w:proofErr w:type="spellStart"/>
      <w:r w:rsidR="00FF2FE0" w:rsidRPr="00FF2FE0">
        <w:rPr>
          <w:sz w:val="28"/>
          <w:szCs w:val="28"/>
          <w:lang w:val="x-none"/>
        </w:rPr>
        <w:t>коронавирусной</w:t>
      </w:r>
      <w:proofErr w:type="spellEnd"/>
      <w:r w:rsidR="00FF2FE0" w:rsidRPr="00FF2FE0">
        <w:rPr>
          <w:sz w:val="28"/>
          <w:szCs w:val="28"/>
          <w:lang w:val="x-none"/>
        </w:rPr>
        <w:t xml:space="preserve"> инфекции COVID-19</w:t>
      </w:r>
      <w:r w:rsidR="00FF2FE0">
        <w:rPr>
          <w:sz w:val="28"/>
          <w:szCs w:val="28"/>
        </w:rPr>
        <w:t>.</w:t>
      </w:r>
    </w:p>
    <w:p w:rsidR="00CC73CC" w:rsidRDefault="00FF2FE0" w:rsidP="00651789">
      <w:pPr>
        <w:shd w:val="clear" w:color="auto" w:fill="FFFFFF"/>
        <w:spacing w:line="360" w:lineRule="exact"/>
        <w:ind w:firstLine="709"/>
        <w:jc w:val="both"/>
        <w:rPr>
          <w:sz w:val="28"/>
          <w:szCs w:val="28"/>
        </w:rPr>
      </w:pPr>
      <w:r>
        <w:rPr>
          <w:sz w:val="28"/>
          <w:szCs w:val="28"/>
        </w:rPr>
        <w:t xml:space="preserve">Базовый вариант развития </w:t>
      </w:r>
      <w:r w:rsidR="00CC73CC" w:rsidRPr="00CE13C7">
        <w:rPr>
          <w:sz w:val="28"/>
          <w:szCs w:val="28"/>
        </w:rPr>
        <w:t>предполага</w:t>
      </w:r>
      <w:r w:rsidR="00557215">
        <w:rPr>
          <w:sz w:val="28"/>
          <w:szCs w:val="28"/>
        </w:rPr>
        <w:t>е</w:t>
      </w:r>
      <w:r w:rsidR="00CC73CC" w:rsidRPr="00CE13C7">
        <w:rPr>
          <w:sz w:val="28"/>
          <w:szCs w:val="28"/>
        </w:rPr>
        <w:t xml:space="preserve">т </w:t>
      </w:r>
      <w:r w:rsidR="00CC73CC">
        <w:rPr>
          <w:sz w:val="28"/>
          <w:szCs w:val="28"/>
        </w:rPr>
        <w:t xml:space="preserve">умеренное экономическое развитие основных предприятий в условиях </w:t>
      </w:r>
      <w:r w:rsidR="00FA0C10" w:rsidRPr="00FA0C10">
        <w:rPr>
          <w:sz w:val="28"/>
          <w:szCs w:val="28"/>
        </w:rPr>
        <w:t xml:space="preserve">умеренной динамики потребительского спроса, при </w:t>
      </w:r>
      <w:r w:rsidR="00574379">
        <w:rPr>
          <w:sz w:val="28"/>
          <w:szCs w:val="28"/>
        </w:rPr>
        <w:t>этом предполагает</w:t>
      </w:r>
      <w:r w:rsidR="00574379" w:rsidRPr="00574379">
        <w:rPr>
          <w:sz w:val="28"/>
          <w:szCs w:val="28"/>
        </w:rPr>
        <w:t xml:space="preserve"> реализаци</w:t>
      </w:r>
      <w:r w:rsidR="00574379">
        <w:rPr>
          <w:sz w:val="28"/>
          <w:szCs w:val="28"/>
        </w:rPr>
        <w:t>ю</w:t>
      </w:r>
      <w:r w:rsidR="00574379" w:rsidRPr="00574379">
        <w:rPr>
          <w:sz w:val="28"/>
          <w:szCs w:val="28"/>
        </w:rPr>
        <w:t xml:space="preserve"> </w:t>
      </w:r>
      <w:r w:rsidR="00574379">
        <w:rPr>
          <w:sz w:val="28"/>
          <w:szCs w:val="28"/>
        </w:rPr>
        <w:t xml:space="preserve">мер, направленных на </w:t>
      </w:r>
      <w:r w:rsidR="00FA0C10" w:rsidRPr="00FA0C10">
        <w:rPr>
          <w:sz w:val="28"/>
          <w:szCs w:val="28"/>
        </w:rPr>
        <w:t>сохранени</w:t>
      </w:r>
      <w:r w:rsidR="00574379">
        <w:rPr>
          <w:sz w:val="28"/>
          <w:szCs w:val="28"/>
        </w:rPr>
        <w:t>е</w:t>
      </w:r>
      <w:r w:rsidR="00FA0C10" w:rsidRPr="00FA0C10">
        <w:rPr>
          <w:sz w:val="28"/>
          <w:szCs w:val="28"/>
        </w:rPr>
        <w:t xml:space="preserve"> </w:t>
      </w:r>
      <w:r w:rsidR="005759B9" w:rsidRPr="005759B9">
        <w:rPr>
          <w:sz w:val="28"/>
          <w:szCs w:val="28"/>
        </w:rPr>
        <w:t>социальной стабильности</w:t>
      </w:r>
      <w:r w:rsidR="00CC73CC" w:rsidRPr="00CE13C7">
        <w:rPr>
          <w:sz w:val="28"/>
          <w:szCs w:val="28"/>
        </w:rPr>
        <w:t xml:space="preserve">.  </w:t>
      </w:r>
    </w:p>
    <w:p w:rsidR="00574379" w:rsidRDefault="00574379" w:rsidP="00651789">
      <w:pPr>
        <w:spacing w:line="360" w:lineRule="exact"/>
        <w:jc w:val="both"/>
      </w:pPr>
    </w:p>
    <w:p w:rsidR="00CC73CC" w:rsidRDefault="00CC73CC" w:rsidP="00651789">
      <w:pPr>
        <w:spacing w:line="360" w:lineRule="exact"/>
        <w:jc w:val="both"/>
      </w:pPr>
      <w:r w:rsidRPr="00D87100">
        <w:tab/>
      </w:r>
      <w:r w:rsidRPr="00E755D0">
        <w:rPr>
          <w:b/>
          <w:i/>
          <w:sz w:val="28"/>
          <w:szCs w:val="28"/>
        </w:rPr>
        <w:t>Х</w:t>
      </w:r>
      <w:r w:rsidRPr="00CF2C31">
        <w:rPr>
          <w:b/>
          <w:i/>
          <w:sz w:val="28"/>
          <w:szCs w:val="28"/>
        </w:rPr>
        <w:t>арактеристика основных направлений бюджетной и налоговой политики СГО на 20</w:t>
      </w:r>
      <w:r w:rsidR="00B51899">
        <w:rPr>
          <w:b/>
          <w:i/>
          <w:sz w:val="28"/>
          <w:szCs w:val="28"/>
        </w:rPr>
        <w:t>2</w:t>
      </w:r>
      <w:r w:rsidR="00801B56">
        <w:rPr>
          <w:b/>
          <w:i/>
          <w:sz w:val="28"/>
          <w:szCs w:val="28"/>
        </w:rPr>
        <w:t>1</w:t>
      </w:r>
      <w:r w:rsidRPr="00CF2C31">
        <w:rPr>
          <w:b/>
          <w:i/>
          <w:sz w:val="28"/>
          <w:szCs w:val="28"/>
        </w:rPr>
        <w:t xml:space="preserve"> год и плановый период 20</w:t>
      </w:r>
      <w:r>
        <w:rPr>
          <w:b/>
          <w:i/>
          <w:sz w:val="28"/>
          <w:szCs w:val="28"/>
        </w:rPr>
        <w:t>2</w:t>
      </w:r>
      <w:r w:rsidR="00801B56">
        <w:rPr>
          <w:b/>
          <w:i/>
          <w:sz w:val="28"/>
          <w:szCs w:val="28"/>
        </w:rPr>
        <w:t>2</w:t>
      </w:r>
      <w:r w:rsidRPr="00CF2C31">
        <w:rPr>
          <w:b/>
          <w:i/>
          <w:sz w:val="28"/>
          <w:szCs w:val="28"/>
        </w:rPr>
        <w:t>-202</w:t>
      </w:r>
      <w:r w:rsidR="00801B56">
        <w:rPr>
          <w:b/>
          <w:i/>
          <w:sz w:val="28"/>
          <w:szCs w:val="28"/>
        </w:rPr>
        <w:t>3</w:t>
      </w:r>
      <w:r w:rsidRPr="00CF2C31">
        <w:rPr>
          <w:b/>
          <w:i/>
          <w:sz w:val="28"/>
          <w:szCs w:val="28"/>
        </w:rPr>
        <w:t>годов.</w:t>
      </w:r>
    </w:p>
    <w:p w:rsidR="00CC73CC" w:rsidRDefault="00CC73CC" w:rsidP="00651789">
      <w:pPr>
        <w:spacing w:line="360" w:lineRule="exact"/>
        <w:jc w:val="both"/>
        <w:rPr>
          <w:sz w:val="28"/>
          <w:szCs w:val="28"/>
        </w:rPr>
      </w:pPr>
      <w:r>
        <w:rPr>
          <w:sz w:val="28"/>
          <w:szCs w:val="28"/>
        </w:rPr>
        <w:tab/>
      </w:r>
      <w:proofErr w:type="gramStart"/>
      <w:r w:rsidRPr="00D87100">
        <w:rPr>
          <w:sz w:val="28"/>
          <w:szCs w:val="28"/>
        </w:rPr>
        <w:t>Представленные с проектом бюджета основные направления</w:t>
      </w:r>
      <w:r w:rsidRPr="00CE13C7">
        <w:rPr>
          <w:sz w:val="28"/>
          <w:szCs w:val="28"/>
        </w:rPr>
        <w:t xml:space="preserve"> бюджетной и налоговой  политики Соликамского городского округа на 20</w:t>
      </w:r>
      <w:r w:rsidR="002608ED">
        <w:rPr>
          <w:sz w:val="28"/>
          <w:szCs w:val="28"/>
        </w:rPr>
        <w:t>2</w:t>
      </w:r>
      <w:r w:rsidR="000A5C48">
        <w:rPr>
          <w:sz w:val="28"/>
          <w:szCs w:val="28"/>
        </w:rPr>
        <w:t>1</w:t>
      </w:r>
      <w:r w:rsidRPr="00CE13C7">
        <w:rPr>
          <w:sz w:val="28"/>
          <w:szCs w:val="28"/>
        </w:rPr>
        <w:t xml:space="preserve"> год и плановый период 20</w:t>
      </w:r>
      <w:r>
        <w:rPr>
          <w:sz w:val="28"/>
          <w:szCs w:val="28"/>
        </w:rPr>
        <w:t>2</w:t>
      </w:r>
      <w:r w:rsidR="000A5C48">
        <w:rPr>
          <w:sz w:val="28"/>
          <w:szCs w:val="28"/>
        </w:rPr>
        <w:t>2</w:t>
      </w:r>
      <w:r w:rsidRPr="00CE13C7">
        <w:rPr>
          <w:sz w:val="28"/>
          <w:szCs w:val="28"/>
        </w:rPr>
        <w:t>-20</w:t>
      </w:r>
      <w:r>
        <w:rPr>
          <w:sz w:val="28"/>
          <w:szCs w:val="28"/>
        </w:rPr>
        <w:t>2</w:t>
      </w:r>
      <w:r w:rsidR="000A5C48">
        <w:rPr>
          <w:sz w:val="28"/>
          <w:szCs w:val="28"/>
        </w:rPr>
        <w:t>3</w:t>
      </w:r>
      <w:r>
        <w:rPr>
          <w:sz w:val="28"/>
          <w:szCs w:val="28"/>
        </w:rPr>
        <w:t xml:space="preserve"> годы </w:t>
      </w:r>
      <w:r w:rsidRPr="00CE13C7">
        <w:rPr>
          <w:sz w:val="28"/>
          <w:szCs w:val="28"/>
        </w:rPr>
        <w:t>составлены с учетом</w:t>
      </w:r>
      <w:r>
        <w:rPr>
          <w:sz w:val="28"/>
          <w:szCs w:val="28"/>
        </w:rPr>
        <w:t xml:space="preserve"> стратегических целей и задач бюджетной политики, сформированных в </w:t>
      </w:r>
      <w:r w:rsidR="004B734B" w:rsidRPr="00AD0764">
        <w:rPr>
          <w:sz w:val="28"/>
          <w:szCs w:val="28"/>
        </w:rPr>
        <w:t>Указ</w:t>
      </w:r>
      <w:r w:rsidR="004B734B">
        <w:rPr>
          <w:sz w:val="28"/>
          <w:szCs w:val="28"/>
        </w:rPr>
        <w:t>е</w:t>
      </w:r>
      <w:r w:rsidR="004B734B" w:rsidRPr="00AD0764">
        <w:rPr>
          <w:sz w:val="28"/>
          <w:szCs w:val="28"/>
        </w:rPr>
        <w:t xml:space="preserve"> Президента Российской Федерации </w:t>
      </w:r>
      <w:r w:rsidR="009E4863">
        <w:rPr>
          <w:sz w:val="28"/>
          <w:szCs w:val="28"/>
        </w:rPr>
        <w:t>21июля</w:t>
      </w:r>
      <w:r w:rsidR="004B734B" w:rsidRPr="00AD0764">
        <w:rPr>
          <w:sz w:val="28"/>
          <w:szCs w:val="28"/>
        </w:rPr>
        <w:t xml:space="preserve"> 20</w:t>
      </w:r>
      <w:r w:rsidR="009E4863">
        <w:rPr>
          <w:sz w:val="28"/>
          <w:szCs w:val="28"/>
        </w:rPr>
        <w:t>20г. № 474</w:t>
      </w:r>
      <w:r w:rsidR="004B734B" w:rsidRPr="00AD0764">
        <w:rPr>
          <w:sz w:val="28"/>
          <w:szCs w:val="28"/>
        </w:rPr>
        <w:t xml:space="preserve"> «</w:t>
      </w:r>
      <w:r w:rsidR="009E4863" w:rsidRPr="009E4863">
        <w:rPr>
          <w:sz w:val="28"/>
          <w:szCs w:val="28"/>
        </w:rPr>
        <w:t>О национальных целях развития России до 2030 года</w:t>
      </w:r>
      <w:r w:rsidR="004B734B" w:rsidRPr="00AD0764">
        <w:rPr>
          <w:sz w:val="28"/>
          <w:szCs w:val="28"/>
        </w:rPr>
        <w:t>»</w:t>
      </w:r>
      <w:r w:rsidR="004B734B">
        <w:rPr>
          <w:sz w:val="28"/>
          <w:szCs w:val="28"/>
        </w:rPr>
        <w:t xml:space="preserve">, </w:t>
      </w:r>
      <w:r>
        <w:rPr>
          <w:sz w:val="28"/>
          <w:szCs w:val="28"/>
        </w:rPr>
        <w:t xml:space="preserve">Послании Президента РФ Федеральному Собранию РФ от </w:t>
      </w:r>
      <w:r w:rsidR="009E4863">
        <w:rPr>
          <w:sz w:val="28"/>
          <w:szCs w:val="28"/>
        </w:rPr>
        <w:t>15</w:t>
      </w:r>
      <w:r>
        <w:rPr>
          <w:sz w:val="28"/>
          <w:szCs w:val="28"/>
        </w:rPr>
        <w:t>.0</w:t>
      </w:r>
      <w:r w:rsidR="009E4863">
        <w:rPr>
          <w:sz w:val="28"/>
          <w:szCs w:val="28"/>
        </w:rPr>
        <w:t>1</w:t>
      </w:r>
      <w:r>
        <w:rPr>
          <w:sz w:val="28"/>
          <w:szCs w:val="28"/>
        </w:rPr>
        <w:t>.20</w:t>
      </w:r>
      <w:r w:rsidR="009E4863">
        <w:rPr>
          <w:sz w:val="28"/>
          <w:szCs w:val="28"/>
        </w:rPr>
        <w:t>20</w:t>
      </w:r>
      <w:r>
        <w:rPr>
          <w:sz w:val="28"/>
          <w:szCs w:val="28"/>
        </w:rPr>
        <w:t xml:space="preserve">г. </w:t>
      </w:r>
      <w:r w:rsidRPr="00CE13C7">
        <w:rPr>
          <w:sz w:val="28"/>
          <w:szCs w:val="28"/>
        </w:rPr>
        <w:t>и соответствуют основным направлениям</w:t>
      </w:r>
      <w:proofErr w:type="gramEnd"/>
      <w:r w:rsidRPr="00CE13C7">
        <w:rPr>
          <w:sz w:val="28"/>
          <w:szCs w:val="28"/>
        </w:rPr>
        <w:t xml:space="preserve"> бюджетной и налоговой политики Пермского края.    </w:t>
      </w:r>
    </w:p>
    <w:p w:rsidR="000A6329" w:rsidRDefault="002608ED" w:rsidP="00651789">
      <w:pPr>
        <w:spacing w:line="360" w:lineRule="exact"/>
        <w:ind w:firstLine="708"/>
        <w:jc w:val="both"/>
        <w:rPr>
          <w:sz w:val="28"/>
          <w:szCs w:val="28"/>
        </w:rPr>
      </w:pPr>
      <w:r w:rsidRPr="000A6329">
        <w:rPr>
          <w:sz w:val="28"/>
          <w:szCs w:val="28"/>
        </w:rPr>
        <w:t xml:space="preserve">Согласно представленному документу, </w:t>
      </w:r>
      <w:r w:rsidRPr="000A6329">
        <w:rPr>
          <w:sz w:val="28"/>
          <w:szCs w:val="28"/>
          <w:u w:val="single"/>
        </w:rPr>
        <w:t xml:space="preserve">налоговая политика </w:t>
      </w:r>
      <w:r w:rsidRPr="000A6329">
        <w:rPr>
          <w:sz w:val="28"/>
          <w:szCs w:val="28"/>
        </w:rPr>
        <w:t>предстоящего трехлетнего периода будет направлена на проведение целенаправленной и эффективной работы по укреплению доходной базы бюджета городского округа за счет наращивания стабильных доходных источников и мобилизации имеющихся резервов поступления доходов в бюджет путем:</w:t>
      </w:r>
    </w:p>
    <w:p w:rsidR="000A6329" w:rsidRDefault="002608ED" w:rsidP="00651789">
      <w:pPr>
        <w:pStyle w:val="a5"/>
        <w:numPr>
          <w:ilvl w:val="0"/>
          <w:numId w:val="16"/>
        </w:numPr>
        <w:spacing w:line="360" w:lineRule="exact"/>
        <w:jc w:val="both"/>
        <w:rPr>
          <w:sz w:val="28"/>
          <w:szCs w:val="28"/>
        </w:rPr>
      </w:pPr>
      <w:r w:rsidRPr="000A6329">
        <w:rPr>
          <w:sz w:val="28"/>
          <w:szCs w:val="28"/>
        </w:rPr>
        <w:t>повышения эффективности управления муниципальной собственностью;</w:t>
      </w:r>
    </w:p>
    <w:p w:rsidR="002608ED" w:rsidRDefault="002608ED" w:rsidP="00651789">
      <w:pPr>
        <w:pStyle w:val="a5"/>
        <w:numPr>
          <w:ilvl w:val="0"/>
          <w:numId w:val="16"/>
        </w:numPr>
        <w:spacing w:line="360" w:lineRule="exact"/>
        <w:ind w:left="0" w:firstLine="360"/>
        <w:jc w:val="both"/>
        <w:rPr>
          <w:sz w:val="28"/>
          <w:szCs w:val="28"/>
        </w:rPr>
      </w:pPr>
      <w:r w:rsidRPr="000A6329">
        <w:rPr>
          <w:sz w:val="28"/>
          <w:szCs w:val="28"/>
        </w:rPr>
        <w:t xml:space="preserve">повышения качества администрирования доходных источников местного бюджета и уровня их собираемости, совершенствования механизмов взаимодействия с налоговыми органами и федеральными органами исполнительной власти с целью укрепления и развития налогового потенциала. </w:t>
      </w:r>
    </w:p>
    <w:p w:rsidR="002608ED" w:rsidRPr="00982B7D" w:rsidRDefault="002608ED" w:rsidP="00651789">
      <w:pPr>
        <w:spacing w:line="360" w:lineRule="exact"/>
        <w:ind w:firstLine="708"/>
        <w:jc w:val="both"/>
        <w:rPr>
          <w:sz w:val="28"/>
          <w:szCs w:val="28"/>
        </w:rPr>
      </w:pPr>
      <w:r w:rsidRPr="00982B7D">
        <w:rPr>
          <w:sz w:val="28"/>
          <w:szCs w:val="28"/>
        </w:rPr>
        <w:t>Наиболее существенное влияние на поступление налоговых доходов  в 202</w:t>
      </w:r>
      <w:r w:rsidR="009740A8">
        <w:rPr>
          <w:sz w:val="28"/>
          <w:szCs w:val="28"/>
        </w:rPr>
        <w:t>1</w:t>
      </w:r>
      <w:r w:rsidRPr="00982B7D">
        <w:rPr>
          <w:sz w:val="28"/>
          <w:szCs w:val="28"/>
        </w:rPr>
        <w:t>-202</w:t>
      </w:r>
      <w:r w:rsidR="009740A8">
        <w:rPr>
          <w:sz w:val="28"/>
          <w:szCs w:val="28"/>
        </w:rPr>
        <w:t>3</w:t>
      </w:r>
      <w:r w:rsidRPr="00982B7D">
        <w:rPr>
          <w:sz w:val="28"/>
          <w:szCs w:val="28"/>
        </w:rPr>
        <w:t xml:space="preserve"> годах окажут следующие изменения:</w:t>
      </w:r>
    </w:p>
    <w:p w:rsidR="002608ED" w:rsidRPr="00982B7D" w:rsidRDefault="002608ED" w:rsidP="00651789">
      <w:pPr>
        <w:numPr>
          <w:ilvl w:val="0"/>
          <w:numId w:val="5"/>
        </w:numPr>
        <w:spacing w:line="360" w:lineRule="exact"/>
        <w:ind w:left="0" w:firstLine="360"/>
        <w:contextualSpacing/>
        <w:jc w:val="both"/>
        <w:rPr>
          <w:sz w:val="28"/>
          <w:szCs w:val="28"/>
        </w:rPr>
      </w:pPr>
      <w:r w:rsidRPr="00982B7D">
        <w:rPr>
          <w:sz w:val="28"/>
          <w:szCs w:val="28"/>
        </w:rPr>
        <w:t xml:space="preserve">исчисление </w:t>
      </w:r>
      <w:proofErr w:type="gramStart"/>
      <w:r w:rsidRPr="00982B7D">
        <w:rPr>
          <w:sz w:val="28"/>
          <w:szCs w:val="28"/>
        </w:rPr>
        <w:t>нал</w:t>
      </w:r>
      <w:r w:rsidR="00982B7D" w:rsidRPr="00982B7D">
        <w:rPr>
          <w:sz w:val="28"/>
          <w:szCs w:val="28"/>
        </w:rPr>
        <w:t>ога</w:t>
      </w:r>
      <w:proofErr w:type="gramEnd"/>
      <w:r w:rsidR="00982B7D" w:rsidRPr="00982B7D">
        <w:rPr>
          <w:sz w:val="28"/>
          <w:szCs w:val="28"/>
        </w:rPr>
        <w:t xml:space="preserve"> на имущество физических лиц</w:t>
      </w:r>
      <w:r w:rsidRPr="00982B7D">
        <w:rPr>
          <w:sz w:val="28"/>
          <w:szCs w:val="28"/>
        </w:rPr>
        <w:t xml:space="preserve"> исходя из кадастровой стоимости объектов недвижимости и ставки налога с учетом коэффициентов, равных:  0,</w:t>
      </w:r>
      <w:r w:rsidR="00BC04E0" w:rsidRPr="00982B7D">
        <w:rPr>
          <w:sz w:val="28"/>
          <w:szCs w:val="28"/>
        </w:rPr>
        <w:t>2</w:t>
      </w:r>
      <w:r w:rsidRPr="00982B7D">
        <w:rPr>
          <w:sz w:val="28"/>
          <w:szCs w:val="28"/>
        </w:rPr>
        <w:t xml:space="preserve"> – </w:t>
      </w:r>
      <w:r w:rsidR="004A35F2">
        <w:rPr>
          <w:sz w:val="28"/>
          <w:szCs w:val="28"/>
        </w:rPr>
        <w:t>за</w:t>
      </w:r>
      <w:r w:rsidRPr="00982B7D">
        <w:rPr>
          <w:sz w:val="28"/>
          <w:szCs w:val="28"/>
        </w:rPr>
        <w:t xml:space="preserve"> 201</w:t>
      </w:r>
      <w:r w:rsidR="004A35F2">
        <w:rPr>
          <w:sz w:val="28"/>
          <w:szCs w:val="28"/>
        </w:rPr>
        <w:t>8</w:t>
      </w:r>
      <w:r w:rsidRPr="00982B7D">
        <w:rPr>
          <w:sz w:val="28"/>
          <w:szCs w:val="28"/>
        </w:rPr>
        <w:t xml:space="preserve"> год</w:t>
      </w:r>
      <w:r w:rsidR="00BC04E0" w:rsidRPr="00982B7D">
        <w:rPr>
          <w:sz w:val="28"/>
          <w:szCs w:val="28"/>
        </w:rPr>
        <w:t>, 0</w:t>
      </w:r>
      <w:r w:rsidR="00CF5E85">
        <w:rPr>
          <w:sz w:val="28"/>
          <w:szCs w:val="28"/>
        </w:rPr>
        <w:t>,</w:t>
      </w:r>
      <w:r w:rsidR="00BC04E0" w:rsidRPr="00982B7D">
        <w:rPr>
          <w:sz w:val="28"/>
          <w:szCs w:val="28"/>
        </w:rPr>
        <w:t>4</w:t>
      </w:r>
      <w:r w:rsidR="00982B7D">
        <w:rPr>
          <w:sz w:val="28"/>
          <w:szCs w:val="28"/>
        </w:rPr>
        <w:t xml:space="preserve"> – </w:t>
      </w:r>
      <w:r w:rsidR="004A35F2">
        <w:rPr>
          <w:sz w:val="28"/>
          <w:szCs w:val="28"/>
        </w:rPr>
        <w:t>за</w:t>
      </w:r>
      <w:r w:rsidR="00982B7D">
        <w:rPr>
          <w:sz w:val="28"/>
          <w:szCs w:val="28"/>
        </w:rPr>
        <w:t xml:space="preserve"> 20</w:t>
      </w:r>
      <w:r w:rsidR="004A35F2">
        <w:rPr>
          <w:sz w:val="28"/>
          <w:szCs w:val="28"/>
        </w:rPr>
        <w:t>19</w:t>
      </w:r>
      <w:r w:rsidR="00BC04E0" w:rsidRPr="00982B7D">
        <w:rPr>
          <w:sz w:val="28"/>
          <w:szCs w:val="28"/>
        </w:rPr>
        <w:t>,</w:t>
      </w:r>
      <w:r w:rsidR="00982B7D">
        <w:rPr>
          <w:sz w:val="28"/>
          <w:szCs w:val="28"/>
        </w:rPr>
        <w:t xml:space="preserve"> </w:t>
      </w:r>
      <w:r w:rsidR="00BC04E0" w:rsidRPr="00982B7D">
        <w:rPr>
          <w:sz w:val="28"/>
          <w:szCs w:val="28"/>
        </w:rPr>
        <w:t>0,6</w:t>
      </w:r>
      <w:r w:rsidR="00982B7D">
        <w:rPr>
          <w:sz w:val="28"/>
          <w:szCs w:val="28"/>
        </w:rPr>
        <w:t xml:space="preserve"> – 20</w:t>
      </w:r>
      <w:r w:rsidR="004A35F2">
        <w:rPr>
          <w:sz w:val="28"/>
          <w:szCs w:val="28"/>
        </w:rPr>
        <w:t>20</w:t>
      </w:r>
      <w:r w:rsidRPr="00982B7D">
        <w:rPr>
          <w:sz w:val="28"/>
          <w:szCs w:val="28"/>
        </w:rPr>
        <w:t xml:space="preserve"> и 1,0 – </w:t>
      </w:r>
      <w:r w:rsidR="004A35F2">
        <w:rPr>
          <w:sz w:val="28"/>
          <w:szCs w:val="28"/>
        </w:rPr>
        <w:t>за</w:t>
      </w:r>
      <w:r w:rsidRPr="00982B7D">
        <w:rPr>
          <w:sz w:val="28"/>
          <w:szCs w:val="28"/>
        </w:rPr>
        <w:t xml:space="preserve"> 202</w:t>
      </w:r>
      <w:r w:rsidR="004A35F2">
        <w:rPr>
          <w:sz w:val="28"/>
          <w:szCs w:val="28"/>
        </w:rPr>
        <w:t>1</w:t>
      </w:r>
      <w:r w:rsidRPr="00982B7D">
        <w:rPr>
          <w:sz w:val="28"/>
          <w:szCs w:val="28"/>
        </w:rPr>
        <w:t xml:space="preserve"> год. Учитывая, что срок уплаты данного налога – не позднее 1 декабря года, следующего за истекшим </w:t>
      </w:r>
      <w:r w:rsidRPr="00982B7D">
        <w:rPr>
          <w:sz w:val="28"/>
          <w:szCs w:val="28"/>
        </w:rPr>
        <w:lastRenderedPageBreak/>
        <w:t>налоговым периодом, в 202</w:t>
      </w:r>
      <w:r w:rsidR="007A66F5">
        <w:rPr>
          <w:sz w:val="28"/>
          <w:szCs w:val="28"/>
        </w:rPr>
        <w:t>1</w:t>
      </w:r>
      <w:r w:rsidRPr="00982B7D">
        <w:rPr>
          <w:sz w:val="28"/>
          <w:szCs w:val="28"/>
        </w:rPr>
        <w:t xml:space="preserve"> году в доход бюджета поступит налог, исчисленный за 20</w:t>
      </w:r>
      <w:r w:rsidR="007A66F5">
        <w:rPr>
          <w:sz w:val="28"/>
          <w:szCs w:val="28"/>
        </w:rPr>
        <w:t>20</w:t>
      </w:r>
      <w:r w:rsidRPr="00982B7D">
        <w:rPr>
          <w:sz w:val="28"/>
          <w:szCs w:val="28"/>
        </w:rPr>
        <w:t xml:space="preserve"> год, в 202</w:t>
      </w:r>
      <w:r w:rsidR="007A66F5">
        <w:rPr>
          <w:sz w:val="28"/>
          <w:szCs w:val="28"/>
        </w:rPr>
        <w:t>2</w:t>
      </w:r>
      <w:r w:rsidRPr="00982B7D">
        <w:rPr>
          <w:sz w:val="28"/>
          <w:szCs w:val="28"/>
        </w:rPr>
        <w:t xml:space="preserve"> году – за 202</w:t>
      </w:r>
      <w:r w:rsidR="007A66F5">
        <w:rPr>
          <w:sz w:val="28"/>
          <w:szCs w:val="28"/>
        </w:rPr>
        <w:t>1</w:t>
      </w:r>
      <w:r w:rsidRPr="00982B7D">
        <w:rPr>
          <w:sz w:val="28"/>
          <w:szCs w:val="28"/>
        </w:rPr>
        <w:t xml:space="preserve"> год. Рост налогооблагаемой базы позволит обеспечить увеличение поступлений в бюджет городского округа по данному налоговому источнику;</w:t>
      </w:r>
    </w:p>
    <w:p w:rsidR="002608ED" w:rsidRPr="00496D00" w:rsidRDefault="007A66F5" w:rsidP="00651789">
      <w:pPr>
        <w:numPr>
          <w:ilvl w:val="0"/>
          <w:numId w:val="5"/>
        </w:numPr>
        <w:spacing w:line="360" w:lineRule="exact"/>
        <w:ind w:left="0" w:firstLine="360"/>
        <w:contextualSpacing/>
        <w:jc w:val="both"/>
        <w:rPr>
          <w:sz w:val="28"/>
          <w:szCs w:val="28"/>
        </w:rPr>
      </w:pPr>
      <w:r>
        <w:rPr>
          <w:sz w:val="28"/>
          <w:szCs w:val="28"/>
        </w:rPr>
        <w:t>увеличение</w:t>
      </w:r>
      <w:r w:rsidR="002608ED" w:rsidRPr="00982B7D">
        <w:rPr>
          <w:sz w:val="28"/>
          <w:szCs w:val="28"/>
        </w:rPr>
        <w:t xml:space="preserve"> норматива отчислений от уплаты акцизов на автомобильный и прямогонный бензин, дизельное топливо, моторные масла для дизельных и (или) карбюраторных (инжекторных) двигателей</w:t>
      </w:r>
      <w:r w:rsidR="00982B7D" w:rsidRPr="00982B7D">
        <w:rPr>
          <w:sz w:val="28"/>
          <w:szCs w:val="28"/>
        </w:rPr>
        <w:t>.</w:t>
      </w:r>
      <w:r w:rsidR="002608ED" w:rsidRPr="00496D00">
        <w:rPr>
          <w:sz w:val="28"/>
          <w:szCs w:val="28"/>
        </w:rPr>
        <w:tab/>
      </w:r>
    </w:p>
    <w:p w:rsidR="00CC73CC" w:rsidRDefault="00496D00" w:rsidP="00651789">
      <w:pPr>
        <w:spacing w:line="360" w:lineRule="exact"/>
        <w:jc w:val="both"/>
        <w:rPr>
          <w:sz w:val="28"/>
          <w:szCs w:val="28"/>
        </w:rPr>
      </w:pPr>
      <w:r>
        <w:rPr>
          <w:sz w:val="28"/>
          <w:szCs w:val="28"/>
        </w:rPr>
        <w:tab/>
      </w:r>
      <w:r w:rsidR="00CC73CC">
        <w:rPr>
          <w:sz w:val="28"/>
          <w:szCs w:val="28"/>
        </w:rPr>
        <w:t xml:space="preserve">Основные </w:t>
      </w:r>
      <w:r w:rsidR="00CC73CC" w:rsidRPr="001449DC">
        <w:rPr>
          <w:sz w:val="28"/>
          <w:szCs w:val="28"/>
          <w:u w:val="single"/>
        </w:rPr>
        <w:t>направления бюджетной политики</w:t>
      </w:r>
      <w:r w:rsidR="00CC73CC">
        <w:rPr>
          <w:sz w:val="28"/>
          <w:szCs w:val="28"/>
        </w:rPr>
        <w:t xml:space="preserve"> представлены в разрезе следующих приоритетов:</w:t>
      </w:r>
    </w:p>
    <w:p w:rsidR="00D54441" w:rsidRDefault="00D54441" w:rsidP="00651789">
      <w:pPr>
        <w:pStyle w:val="a5"/>
        <w:numPr>
          <w:ilvl w:val="0"/>
          <w:numId w:val="6"/>
        </w:numPr>
        <w:spacing w:line="360" w:lineRule="exact"/>
        <w:jc w:val="both"/>
        <w:rPr>
          <w:sz w:val="28"/>
          <w:szCs w:val="28"/>
        </w:rPr>
      </w:pPr>
      <w:r>
        <w:rPr>
          <w:sz w:val="28"/>
          <w:szCs w:val="28"/>
        </w:rPr>
        <w:t>сохранение устойчивости бюджета;</w:t>
      </w:r>
    </w:p>
    <w:p w:rsidR="00496D00" w:rsidRDefault="00CC73CC" w:rsidP="00651789">
      <w:pPr>
        <w:pStyle w:val="a5"/>
        <w:numPr>
          <w:ilvl w:val="0"/>
          <w:numId w:val="6"/>
        </w:numPr>
        <w:spacing w:line="360" w:lineRule="exact"/>
        <w:jc w:val="both"/>
        <w:rPr>
          <w:sz w:val="28"/>
          <w:szCs w:val="28"/>
        </w:rPr>
      </w:pPr>
      <w:r>
        <w:rPr>
          <w:sz w:val="28"/>
          <w:szCs w:val="28"/>
        </w:rPr>
        <w:t>обеспечение сбалансированности бюджетной системы;</w:t>
      </w:r>
    </w:p>
    <w:p w:rsidR="00496D00" w:rsidRPr="00496D00" w:rsidRDefault="00496D00" w:rsidP="00651789">
      <w:pPr>
        <w:pStyle w:val="a5"/>
        <w:numPr>
          <w:ilvl w:val="0"/>
          <w:numId w:val="6"/>
        </w:numPr>
        <w:spacing w:line="360" w:lineRule="exact"/>
        <w:ind w:left="0" w:firstLine="360"/>
        <w:jc w:val="both"/>
        <w:rPr>
          <w:sz w:val="28"/>
          <w:szCs w:val="28"/>
        </w:rPr>
      </w:pPr>
      <w:r w:rsidRPr="00496D00">
        <w:rPr>
          <w:sz w:val="28"/>
          <w:szCs w:val="28"/>
        </w:rPr>
        <w:t>повышение эффективности использования бюджетных средств за счет их мобилизации на приоритетных целях и задачах в рамках муниципальных программ;</w:t>
      </w:r>
    </w:p>
    <w:p w:rsidR="00496D00" w:rsidRPr="00496D00" w:rsidRDefault="00496D00" w:rsidP="00651789">
      <w:pPr>
        <w:pStyle w:val="a5"/>
        <w:numPr>
          <w:ilvl w:val="0"/>
          <w:numId w:val="6"/>
        </w:numPr>
        <w:spacing w:line="360" w:lineRule="exact"/>
        <w:ind w:left="0" w:firstLine="360"/>
        <w:jc w:val="both"/>
        <w:rPr>
          <w:sz w:val="28"/>
          <w:szCs w:val="28"/>
        </w:rPr>
      </w:pPr>
      <w:r w:rsidRPr="00496D00">
        <w:rPr>
          <w:sz w:val="28"/>
          <w:szCs w:val="28"/>
        </w:rPr>
        <w:t xml:space="preserve">повышение эффективности и обоснованности показателей муниципальных программ как наиболее значимого инструмента бюджетирования, ориентированного на результат; </w:t>
      </w:r>
    </w:p>
    <w:p w:rsidR="00496D00" w:rsidRPr="00496D00" w:rsidRDefault="00496D00" w:rsidP="00651789">
      <w:pPr>
        <w:pStyle w:val="a5"/>
        <w:numPr>
          <w:ilvl w:val="0"/>
          <w:numId w:val="6"/>
        </w:numPr>
        <w:spacing w:line="360" w:lineRule="exact"/>
        <w:ind w:left="0" w:firstLine="360"/>
        <w:jc w:val="both"/>
        <w:rPr>
          <w:sz w:val="28"/>
          <w:szCs w:val="28"/>
        </w:rPr>
      </w:pPr>
      <w:r w:rsidRPr="00496D00">
        <w:rPr>
          <w:sz w:val="28"/>
          <w:szCs w:val="28"/>
        </w:rPr>
        <w:t>повышение эффективности оказания муниципальных услуг (выполнения работ), в том числе повышение обоснованности планирования и распределения средств бюджета городского округа на оказание (выполнение) муниципальных работ (услуг), оптимизация сети муниципальных учреждений и численности персонала, повышение эффективности управления муниципальным имуществом;</w:t>
      </w:r>
    </w:p>
    <w:p w:rsidR="00CC73CC" w:rsidRPr="00496D00" w:rsidRDefault="00CC73CC" w:rsidP="00651789">
      <w:pPr>
        <w:pStyle w:val="a5"/>
        <w:numPr>
          <w:ilvl w:val="0"/>
          <w:numId w:val="6"/>
        </w:numPr>
        <w:spacing w:line="360" w:lineRule="exact"/>
        <w:jc w:val="both"/>
        <w:rPr>
          <w:sz w:val="28"/>
          <w:szCs w:val="28"/>
        </w:rPr>
      </w:pPr>
      <w:r w:rsidRPr="00496D00">
        <w:rPr>
          <w:sz w:val="28"/>
          <w:szCs w:val="28"/>
        </w:rPr>
        <w:t>обеспечение социальных обязательств;</w:t>
      </w:r>
    </w:p>
    <w:p w:rsidR="00FC199F" w:rsidRPr="00496D00" w:rsidRDefault="00496D00" w:rsidP="00651789">
      <w:pPr>
        <w:pStyle w:val="a5"/>
        <w:numPr>
          <w:ilvl w:val="0"/>
          <w:numId w:val="6"/>
        </w:numPr>
        <w:autoSpaceDE w:val="0"/>
        <w:autoSpaceDN w:val="0"/>
        <w:adjustRightInd w:val="0"/>
        <w:spacing w:line="360" w:lineRule="exact"/>
        <w:ind w:left="0" w:firstLine="360"/>
        <w:jc w:val="both"/>
        <w:rPr>
          <w:rFonts w:eastAsiaTheme="minorHAnsi"/>
          <w:sz w:val="28"/>
          <w:szCs w:val="28"/>
          <w:lang w:eastAsia="en-US"/>
        </w:rPr>
      </w:pPr>
      <w:r w:rsidRPr="00496D00">
        <w:rPr>
          <w:sz w:val="28"/>
          <w:szCs w:val="28"/>
        </w:rPr>
        <w:t xml:space="preserve">привлечение средств из бюджетов других уровней. </w:t>
      </w:r>
      <w:r w:rsidR="00FC199F" w:rsidRPr="00496D00">
        <w:rPr>
          <w:rFonts w:eastAsiaTheme="minorHAnsi"/>
          <w:sz w:val="28"/>
          <w:szCs w:val="28"/>
          <w:lang w:eastAsia="en-US"/>
        </w:rPr>
        <w:t>Основные направления расходов муниципалитетов, поддерживаемые субсидиями из бюджета края – это ликвидация аварийного жилищного фонда, создание новых мест в общеобразовательных организациях,</w:t>
      </w:r>
      <w:r w:rsidR="00CF5E85">
        <w:rPr>
          <w:rFonts w:eastAsiaTheme="minorHAnsi"/>
          <w:sz w:val="28"/>
          <w:szCs w:val="28"/>
          <w:lang w:eastAsia="en-US"/>
        </w:rPr>
        <w:t xml:space="preserve"> строительство объектов для занятий физической культурой и спортом,</w:t>
      </w:r>
      <w:r w:rsidR="00FC199F" w:rsidRPr="00496D00">
        <w:rPr>
          <w:rFonts w:eastAsiaTheme="minorHAnsi"/>
          <w:sz w:val="28"/>
          <w:szCs w:val="28"/>
          <w:lang w:eastAsia="en-US"/>
        </w:rPr>
        <w:t xml:space="preserve"> реализаци</w:t>
      </w:r>
      <w:r w:rsidR="00384177">
        <w:rPr>
          <w:rFonts w:eastAsiaTheme="minorHAnsi"/>
          <w:sz w:val="28"/>
          <w:szCs w:val="28"/>
          <w:lang w:eastAsia="en-US"/>
        </w:rPr>
        <w:t>я</w:t>
      </w:r>
      <w:r w:rsidR="00FC199F" w:rsidRPr="00496D00">
        <w:rPr>
          <w:rFonts w:eastAsiaTheme="minorHAnsi"/>
          <w:sz w:val="28"/>
          <w:szCs w:val="28"/>
          <w:lang w:eastAsia="en-US"/>
        </w:rPr>
        <w:t xml:space="preserve"> программ формирования современной городской среды, </w:t>
      </w:r>
      <w:r w:rsidR="00384177" w:rsidRPr="00384177">
        <w:rPr>
          <w:rFonts w:eastAsiaTheme="minorHAnsi"/>
          <w:sz w:val="28"/>
          <w:szCs w:val="28"/>
          <w:lang w:eastAsia="en-US"/>
        </w:rPr>
        <w:t xml:space="preserve">повышение качества </w:t>
      </w:r>
      <w:r w:rsidR="00FC199F" w:rsidRPr="00496D00">
        <w:rPr>
          <w:rFonts w:eastAsiaTheme="minorHAnsi"/>
          <w:sz w:val="28"/>
          <w:szCs w:val="28"/>
          <w:lang w:eastAsia="en-US"/>
        </w:rPr>
        <w:t>автомобильных дорог.</w:t>
      </w:r>
    </w:p>
    <w:p w:rsidR="00CC73CC" w:rsidRDefault="00CC73CC" w:rsidP="00651789">
      <w:pPr>
        <w:spacing w:line="360" w:lineRule="exact"/>
        <w:jc w:val="both"/>
        <w:rPr>
          <w:sz w:val="28"/>
          <w:szCs w:val="28"/>
        </w:rPr>
      </w:pPr>
      <w:r>
        <w:rPr>
          <w:sz w:val="28"/>
          <w:szCs w:val="28"/>
        </w:rPr>
        <w:tab/>
      </w:r>
      <w:r w:rsidRPr="00CE13C7">
        <w:rPr>
          <w:sz w:val="28"/>
          <w:szCs w:val="28"/>
        </w:rPr>
        <w:t>Необходимо обратить внимание, что формирование  бюджетных параметров происходило в условиях ограниченности бюджетных средств  исходя из безусловного исполнения действующих расходных обязательств.</w:t>
      </w:r>
    </w:p>
    <w:p w:rsidR="00CC73CC" w:rsidRPr="00CE13C7" w:rsidRDefault="00CC73CC" w:rsidP="00651789">
      <w:pPr>
        <w:spacing w:line="360" w:lineRule="exact"/>
        <w:jc w:val="both"/>
        <w:rPr>
          <w:b/>
          <w:i/>
          <w:sz w:val="28"/>
          <w:szCs w:val="28"/>
        </w:rPr>
      </w:pPr>
      <w:r w:rsidRPr="00CE13C7">
        <w:rPr>
          <w:sz w:val="28"/>
          <w:szCs w:val="28"/>
        </w:rPr>
        <w:t xml:space="preserve">       </w:t>
      </w:r>
      <w:r w:rsidRPr="00CE13C7">
        <w:rPr>
          <w:b/>
          <w:i/>
          <w:sz w:val="28"/>
          <w:szCs w:val="28"/>
        </w:rPr>
        <w:t>При формировании бюджета СГО на 20</w:t>
      </w:r>
      <w:r w:rsidR="006E2C8C">
        <w:rPr>
          <w:b/>
          <w:i/>
          <w:sz w:val="28"/>
          <w:szCs w:val="28"/>
        </w:rPr>
        <w:t>2</w:t>
      </w:r>
      <w:r w:rsidR="00377CB6">
        <w:rPr>
          <w:b/>
          <w:i/>
          <w:sz w:val="28"/>
          <w:szCs w:val="28"/>
        </w:rPr>
        <w:t>1</w:t>
      </w:r>
      <w:r w:rsidRPr="00CE13C7">
        <w:rPr>
          <w:b/>
          <w:i/>
          <w:sz w:val="28"/>
          <w:szCs w:val="28"/>
        </w:rPr>
        <w:t>- 20</w:t>
      </w:r>
      <w:r>
        <w:rPr>
          <w:b/>
          <w:i/>
          <w:sz w:val="28"/>
          <w:szCs w:val="28"/>
        </w:rPr>
        <w:t>2</w:t>
      </w:r>
      <w:r w:rsidR="00377CB6">
        <w:rPr>
          <w:b/>
          <w:i/>
          <w:sz w:val="28"/>
          <w:szCs w:val="28"/>
        </w:rPr>
        <w:t>3</w:t>
      </w:r>
      <w:r w:rsidRPr="00CE13C7">
        <w:rPr>
          <w:b/>
          <w:i/>
          <w:sz w:val="28"/>
          <w:szCs w:val="28"/>
        </w:rPr>
        <w:t xml:space="preserve"> годы:</w:t>
      </w:r>
    </w:p>
    <w:p w:rsidR="00CC73CC" w:rsidRPr="00CE13C7" w:rsidRDefault="00CC73CC" w:rsidP="00651789">
      <w:pPr>
        <w:spacing w:line="360" w:lineRule="exact"/>
        <w:jc w:val="both"/>
        <w:rPr>
          <w:sz w:val="28"/>
          <w:szCs w:val="28"/>
        </w:rPr>
      </w:pPr>
      <w:r w:rsidRPr="00CE13C7">
        <w:rPr>
          <w:sz w:val="28"/>
          <w:szCs w:val="28"/>
        </w:rPr>
        <w:t xml:space="preserve"> Предусмотрены  средства</w:t>
      </w:r>
      <w:r>
        <w:rPr>
          <w:sz w:val="28"/>
          <w:szCs w:val="28"/>
        </w:rPr>
        <w:t>, в том числе</w:t>
      </w:r>
      <w:r w:rsidRPr="00CE13C7">
        <w:rPr>
          <w:sz w:val="28"/>
          <w:szCs w:val="28"/>
        </w:rPr>
        <w:t>:</w:t>
      </w:r>
    </w:p>
    <w:p w:rsidR="00CC73CC" w:rsidRDefault="00CC73CC" w:rsidP="00651789">
      <w:pPr>
        <w:numPr>
          <w:ilvl w:val="0"/>
          <w:numId w:val="2"/>
        </w:numPr>
        <w:spacing w:line="360" w:lineRule="exact"/>
        <w:contextualSpacing/>
        <w:jc w:val="both"/>
        <w:rPr>
          <w:sz w:val="28"/>
          <w:szCs w:val="28"/>
        </w:rPr>
      </w:pPr>
      <w:r w:rsidRPr="004C527B">
        <w:rPr>
          <w:sz w:val="28"/>
          <w:szCs w:val="28"/>
        </w:rPr>
        <w:t xml:space="preserve">на доведение средней заработной платы отдельным категориям работников муниципальных учреждений образования, культуры, физкультуры и спорта до уровня, установленного «дорожными картами» (соглашениями с органами власти Пермского края) </w:t>
      </w:r>
      <w:r>
        <w:rPr>
          <w:sz w:val="28"/>
          <w:szCs w:val="28"/>
        </w:rPr>
        <w:t>и</w:t>
      </w:r>
      <w:r w:rsidRPr="004C527B">
        <w:rPr>
          <w:sz w:val="28"/>
          <w:szCs w:val="28"/>
        </w:rPr>
        <w:t xml:space="preserve"> в соответствии с Указами Президента Российской Федерации</w:t>
      </w:r>
      <w:r>
        <w:rPr>
          <w:sz w:val="28"/>
          <w:szCs w:val="28"/>
        </w:rPr>
        <w:t>;</w:t>
      </w:r>
    </w:p>
    <w:p w:rsidR="00CC73CC" w:rsidRDefault="00CC73CC" w:rsidP="00651789">
      <w:pPr>
        <w:pStyle w:val="ConsPlusNormal"/>
        <w:numPr>
          <w:ilvl w:val="0"/>
          <w:numId w:val="2"/>
        </w:numPr>
        <w:spacing w:line="360" w:lineRule="exact"/>
        <w:jc w:val="both"/>
        <w:rPr>
          <w:rFonts w:ascii="Times New Roman" w:hAnsi="Times New Roman" w:cs="Times New Roman"/>
          <w:sz w:val="28"/>
          <w:szCs w:val="28"/>
        </w:rPr>
      </w:pPr>
      <w:proofErr w:type="gramStart"/>
      <w:r w:rsidRPr="00071349">
        <w:rPr>
          <w:rFonts w:ascii="Times New Roman" w:hAnsi="Times New Roman" w:cs="Times New Roman"/>
          <w:sz w:val="28"/>
          <w:szCs w:val="28"/>
        </w:rPr>
        <w:t xml:space="preserve">на обеспечение долевого участия местного бюджета с целью максимального </w:t>
      </w:r>
      <w:r w:rsidRPr="00071349">
        <w:rPr>
          <w:rFonts w:ascii="Times New Roman" w:hAnsi="Times New Roman" w:cs="Times New Roman"/>
          <w:sz w:val="28"/>
          <w:szCs w:val="28"/>
        </w:rPr>
        <w:lastRenderedPageBreak/>
        <w:t>привлечения средств из бюджетов</w:t>
      </w:r>
      <w:r w:rsidR="00990432">
        <w:rPr>
          <w:rFonts w:ascii="Times New Roman" w:hAnsi="Times New Roman" w:cs="Times New Roman"/>
          <w:sz w:val="28"/>
          <w:szCs w:val="28"/>
        </w:rPr>
        <w:t xml:space="preserve"> других уровней</w:t>
      </w:r>
      <w:r w:rsidRPr="00071349">
        <w:rPr>
          <w:rFonts w:ascii="Times New Roman" w:hAnsi="Times New Roman" w:cs="Times New Roman"/>
          <w:sz w:val="28"/>
          <w:szCs w:val="28"/>
        </w:rPr>
        <w:t xml:space="preserve"> при</w:t>
      </w:r>
      <w:r>
        <w:rPr>
          <w:rFonts w:ascii="Times New Roman" w:hAnsi="Times New Roman" w:cs="Times New Roman"/>
          <w:sz w:val="28"/>
          <w:szCs w:val="28"/>
        </w:rPr>
        <w:t xml:space="preserve"> участии</w:t>
      </w:r>
      <w:r w:rsidRPr="00071349">
        <w:rPr>
          <w:rFonts w:ascii="Times New Roman" w:hAnsi="Times New Roman" w:cs="Times New Roman"/>
          <w:sz w:val="28"/>
          <w:szCs w:val="28"/>
        </w:rPr>
        <w:t xml:space="preserve"> в приоритетных региональных проектах</w:t>
      </w:r>
      <w:proofErr w:type="gramEnd"/>
      <w:r>
        <w:rPr>
          <w:rFonts w:ascii="Times New Roman" w:hAnsi="Times New Roman" w:cs="Times New Roman"/>
          <w:sz w:val="28"/>
          <w:szCs w:val="28"/>
        </w:rPr>
        <w:t xml:space="preserve">, </w:t>
      </w:r>
      <w:r w:rsidRPr="00071349">
        <w:rPr>
          <w:rFonts w:ascii="Times New Roman" w:hAnsi="Times New Roman" w:cs="Times New Roman"/>
          <w:sz w:val="28"/>
          <w:szCs w:val="28"/>
        </w:rPr>
        <w:t>в федеральных и региональных программах</w:t>
      </w:r>
      <w:r>
        <w:rPr>
          <w:rFonts w:ascii="Times New Roman" w:hAnsi="Times New Roman" w:cs="Times New Roman"/>
          <w:sz w:val="28"/>
          <w:szCs w:val="28"/>
        </w:rPr>
        <w:t>:</w:t>
      </w:r>
    </w:p>
    <w:p w:rsidR="00990432" w:rsidRDefault="00990432" w:rsidP="00651789">
      <w:pPr>
        <w:pStyle w:val="ConsPlusNormal"/>
        <w:numPr>
          <w:ilvl w:val="0"/>
          <w:numId w:val="8"/>
        </w:numPr>
        <w:spacing w:line="360" w:lineRule="exact"/>
        <w:jc w:val="both"/>
        <w:rPr>
          <w:rFonts w:ascii="Times New Roman" w:hAnsi="Times New Roman" w:cs="Times New Roman"/>
          <w:sz w:val="28"/>
          <w:szCs w:val="28"/>
        </w:rPr>
      </w:pPr>
      <w:r w:rsidRPr="00990432">
        <w:rPr>
          <w:rFonts w:ascii="Times New Roman" w:hAnsi="Times New Roman" w:cs="Times New Roman"/>
          <w:sz w:val="28"/>
          <w:szCs w:val="28"/>
        </w:rPr>
        <w:t>строительство и ремонт объектов муниципальной инфраструктуры</w:t>
      </w:r>
      <w:r>
        <w:rPr>
          <w:rFonts w:ascii="Times New Roman" w:hAnsi="Times New Roman" w:cs="Times New Roman"/>
          <w:sz w:val="28"/>
          <w:szCs w:val="28"/>
        </w:rPr>
        <w:t>;</w:t>
      </w:r>
    </w:p>
    <w:p w:rsidR="00990432" w:rsidRDefault="00990432" w:rsidP="00651789">
      <w:pPr>
        <w:pStyle w:val="ConsPlusNormal"/>
        <w:numPr>
          <w:ilvl w:val="0"/>
          <w:numId w:val="8"/>
        </w:numPr>
        <w:spacing w:line="360" w:lineRule="exact"/>
        <w:jc w:val="both"/>
        <w:rPr>
          <w:rFonts w:ascii="Times New Roman" w:hAnsi="Times New Roman" w:cs="Times New Roman"/>
          <w:sz w:val="28"/>
          <w:szCs w:val="28"/>
        </w:rPr>
      </w:pPr>
      <w:r w:rsidRPr="00990432">
        <w:rPr>
          <w:rFonts w:ascii="Times New Roman" w:hAnsi="Times New Roman" w:cs="Times New Roman"/>
          <w:sz w:val="28"/>
          <w:szCs w:val="28"/>
        </w:rPr>
        <w:t>проведени</w:t>
      </w:r>
      <w:r>
        <w:rPr>
          <w:rFonts w:ascii="Times New Roman" w:hAnsi="Times New Roman" w:cs="Times New Roman"/>
          <w:sz w:val="28"/>
          <w:szCs w:val="28"/>
        </w:rPr>
        <w:t>е</w:t>
      </w:r>
      <w:r w:rsidR="005B506B">
        <w:rPr>
          <w:rFonts w:ascii="Times New Roman" w:hAnsi="Times New Roman" w:cs="Times New Roman"/>
          <w:sz w:val="28"/>
          <w:szCs w:val="28"/>
        </w:rPr>
        <w:t xml:space="preserve"> </w:t>
      </w:r>
      <w:r w:rsidRPr="00990432">
        <w:rPr>
          <w:rFonts w:ascii="Times New Roman" w:hAnsi="Times New Roman" w:cs="Times New Roman"/>
          <w:sz w:val="28"/>
          <w:szCs w:val="28"/>
        </w:rPr>
        <w:t>ремонтно-</w:t>
      </w:r>
      <w:r w:rsidRPr="00557215">
        <w:rPr>
          <w:rFonts w:ascii="Times New Roman" w:hAnsi="Times New Roman" w:cs="Times New Roman"/>
          <w:sz w:val="28"/>
          <w:szCs w:val="28"/>
        </w:rPr>
        <w:t>реставрационных</w:t>
      </w:r>
      <w:r w:rsidR="005B506B" w:rsidRPr="00557215">
        <w:rPr>
          <w:rFonts w:ascii="Times New Roman" w:hAnsi="Times New Roman" w:cs="Times New Roman"/>
          <w:sz w:val="28"/>
          <w:szCs w:val="28"/>
        </w:rPr>
        <w:t xml:space="preserve"> </w:t>
      </w:r>
      <w:r w:rsidR="00557215" w:rsidRPr="00557215">
        <w:rPr>
          <w:rFonts w:ascii="Times New Roman" w:hAnsi="Times New Roman" w:cs="Times New Roman"/>
          <w:sz w:val="28"/>
          <w:szCs w:val="28"/>
        </w:rPr>
        <w:t xml:space="preserve">работ в </w:t>
      </w:r>
      <w:r w:rsidR="005B506B" w:rsidRPr="00557215">
        <w:rPr>
          <w:rFonts w:ascii="Times New Roman" w:hAnsi="Times New Roman" w:cs="Times New Roman"/>
          <w:sz w:val="28"/>
          <w:szCs w:val="28"/>
        </w:rPr>
        <w:t>целях</w:t>
      </w:r>
      <w:r w:rsidR="005B506B" w:rsidRPr="005B506B">
        <w:rPr>
          <w:rFonts w:ascii="Times New Roman" w:hAnsi="Times New Roman" w:cs="Times New Roman"/>
          <w:sz w:val="28"/>
          <w:szCs w:val="28"/>
        </w:rPr>
        <w:t xml:space="preserve"> сохранения объектов культурного наследия</w:t>
      </w:r>
      <w:r w:rsidR="005B506B">
        <w:rPr>
          <w:rFonts w:ascii="Times New Roman" w:hAnsi="Times New Roman" w:cs="Times New Roman"/>
          <w:sz w:val="28"/>
          <w:szCs w:val="28"/>
        </w:rPr>
        <w:t>;</w:t>
      </w:r>
    </w:p>
    <w:p w:rsidR="00CC73CC" w:rsidRDefault="00CC73CC" w:rsidP="00651789">
      <w:pPr>
        <w:pStyle w:val="ConsPlusNormal"/>
        <w:numPr>
          <w:ilvl w:val="0"/>
          <w:numId w:val="8"/>
        </w:numPr>
        <w:spacing w:line="360" w:lineRule="exact"/>
        <w:jc w:val="both"/>
        <w:rPr>
          <w:rFonts w:ascii="Times New Roman" w:hAnsi="Times New Roman" w:cs="Times New Roman"/>
          <w:sz w:val="28"/>
          <w:szCs w:val="28"/>
        </w:rPr>
      </w:pPr>
      <w:r w:rsidRPr="00071349">
        <w:rPr>
          <w:rFonts w:ascii="Times New Roman" w:hAnsi="Times New Roman" w:cs="Times New Roman"/>
          <w:sz w:val="28"/>
          <w:szCs w:val="28"/>
        </w:rPr>
        <w:t>формирование комфортной городской среды;</w:t>
      </w:r>
    </w:p>
    <w:p w:rsidR="005B506B" w:rsidRDefault="0002621D" w:rsidP="00651789">
      <w:pPr>
        <w:pStyle w:val="ConsPlusNormal"/>
        <w:numPr>
          <w:ilvl w:val="0"/>
          <w:numId w:val="8"/>
        </w:numPr>
        <w:spacing w:line="360" w:lineRule="exact"/>
        <w:jc w:val="both"/>
        <w:rPr>
          <w:rFonts w:ascii="Times New Roman" w:hAnsi="Times New Roman" w:cs="Times New Roman"/>
          <w:sz w:val="28"/>
          <w:szCs w:val="28"/>
        </w:rPr>
      </w:pPr>
      <w:r w:rsidRPr="0002621D">
        <w:rPr>
          <w:rFonts w:ascii="Times New Roman" w:hAnsi="Times New Roman" w:cs="Times New Roman"/>
          <w:sz w:val="28"/>
          <w:szCs w:val="28"/>
        </w:rPr>
        <w:t xml:space="preserve">реализация мероприятий </w:t>
      </w:r>
      <w:r>
        <w:rPr>
          <w:rFonts w:ascii="Times New Roman" w:hAnsi="Times New Roman" w:cs="Times New Roman"/>
          <w:sz w:val="28"/>
          <w:szCs w:val="28"/>
        </w:rPr>
        <w:t>по к</w:t>
      </w:r>
      <w:r w:rsidRPr="0002621D">
        <w:rPr>
          <w:rFonts w:ascii="Times New Roman" w:hAnsi="Times New Roman" w:cs="Times New Roman"/>
          <w:sz w:val="28"/>
          <w:szCs w:val="28"/>
        </w:rPr>
        <w:t>омплексно</w:t>
      </w:r>
      <w:r>
        <w:rPr>
          <w:rFonts w:ascii="Times New Roman" w:hAnsi="Times New Roman" w:cs="Times New Roman"/>
          <w:sz w:val="28"/>
          <w:szCs w:val="28"/>
        </w:rPr>
        <w:t>му</w:t>
      </w:r>
      <w:r w:rsidRPr="0002621D">
        <w:rPr>
          <w:rFonts w:ascii="Times New Roman" w:hAnsi="Times New Roman" w:cs="Times New Roman"/>
          <w:sz w:val="28"/>
          <w:szCs w:val="28"/>
        </w:rPr>
        <w:t xml:space="preserve"> развити</w:t>
      </w:r>
      <w:r>
        <w:rPr>
          <w:rFonts w:ascii="Times New Roman" w:hAnsi="Times New Roman" w:cs="Times New Roman"/>
          <w:sz w:val="28"/>
          <w:szCs w:val="28"/>
        </w:rPr>
        <w:t>ю</w:t>
      </w:r>
      <w:r w:rsidRPr="0002621D">
        <w:rPr>
          <w:rFonts w:ascii="Times New Roman" w:hAnsi="Times New Roman" w:cs="Times New Roman"/>
          <w:sz w:val="28"/>
          <w:szCs w:val="28"/>
        </w:rPr>
        <w:t xml:space="preserve"> сельских территорий</w:t>
      </w:r>
      <w:r>
        <w:rPr>
          <w:rFonts w:ascii="Times New Roman" w:hAnsi="Times New Roman" w:cs="Times New Roman"/>
          <w:sz w:val="28"/>
          <w:szCs w:val="28"/>
        </w:rPr>
        <w:t>;</w:t>
      </w:r>
    </w:p>
    <w:p w:rsidR="00CC73CC" w:rsidRDefault="00CC73CC" w:rsidP="00651789">
      <w:pPr>
        <w:pStyle w:val="ConsPlusNormal"/>
        <w:numPr>
          <w:ilvl w:val="0"/>
          <w:numId w:val="8"/>
        </w:numPr>
        <w:spacing w:line="360" w:lineRule="exact"/>
        <w:jc w:val="both"/>
        <w:rPr>
          <w:rFonts w:ascii="Times New Roman" w:hAnsi="Times New Roman" w:cs="Times New Roman"/>
          <w:sz w:val="28"/>
          <w:szCs w:val="28"/>
        </w:rPr>
      </w:pPr>
      <w:r w:rsidRPr="00071349">
        <w:rPr>
          <w:rFonts w:ascii="Times New Roman" w:hAnsi="Times New Roman" w:cs="Times New Roman"/>
          <w:sz w:val="28"/>
          <w:szCs w:val="28"/>
        </w:rPr>
        <w:t>переселение из аварийного жилищного фонда;</w:t>
      </w:r>
    </w:p>
    <w:p w:rsidR="00CC73CC" w:rsidRDefault="00CC73CC" w:rsidP="00651789">
      <w:pPr>
        <w:pStyle w:val="ConsPlusNormal"/>
        <w:numPr>
          <w:ilvl w:val="0"/>
          <w:numId w:val="8"/>
        </w:numPr>
        <w:spacing w:line="360" w:lineRule="exact"/>
        <w:jc w:val="both"/>
        <w:rPr>
          <w:rFonts w:ascii="Times New Roman" w:hAnsi="Times New Roman" w:cs="Times New Roman"/>
          <w:sz w:val="28"/>
          <w:szCs w:val="28"/>
        </w:rPr>
      </w:pPr>
      <w:r w:rsidRPr="00071349">
        <w:rPr>
          <w:rFonts w:ascii="Times New Roman" w:hAnsi="Times New Roman" w:cs="Times New Roman"/>
          <w:sz w:val="28"/>
          <w:szCs w:val="28"/>
        </w:rPr>
        <w:t xml:space="preserve">обеспечение жильем молодых семей; </w:t>
      </w:r>
    </w:p>
    <w:p w:rsidR="00997981" w:rsidRDefault="00CC73CC" w:rsidP="00651789">
      <w:pPr>
        <w:pStyle w:val="ConsPlusNormal"/>
        <w:numPr>
          <w:ilvl w:val="0"/>
          <w:numId w:val="8"/>
        </w:numPr>
        <w:spacing w:line="360" w:lineRule="exact"/>
        <w:jc w:val="both"/>
        <w:rPr>
          <w:rFonts w:ascii="Times New Roman" w:hAnsi="Times New Roman" w:cs="Times New Roman"/>
          <w:sz w:val="28"/>
          <w:szCs w:val="28"/>
        </w:rPr>
      </w:pPr>
      <w:r w:rsidRPr="00071349">
        <w:rPr>
          <w:rFonts w:ascii="Times New Roman" w:hAnsi="Times New Roman" w:cs="Times New Roman"/>
          <w:sz w:val="28"/>
          <w:szCs w:val="28"/>
        </w:rPr>
        <w:t>развитие учреждений образования, культуры и массового спорта;</w:t>
      </w:r>
    </w:p>
    <w:p w:rsidR="00CC73CC" w:rsidRDefault="00CC73CC" w:rsidP="00651789">
      <w:pPr>
        <w:pStyle w:val="ConsPlusNormal"/>
        <w:numPr>
          <w:ilvl w:val="0"/>
          <w:numId w:val="8"/>
        </w:numPr>
        <w:spacing w:line="360" w:lineRule="exact"/>
        <w:jc w:val="both"/>
        <w:rPr>
          <w:rFonts w:ascii="Times New Roman" w:hAnsi="Times New Roman" w:cs="Times New Roman"/>
          <w:sz w:val="28"/>
          <w:szCs w:val="28"/>
        </w:rPr>
      </w:pPr>
      <w:r w:rsidRPr="00997981">
        <w:rPr>
          <w:rFonts w:ascii="Times New Roman" w:hAnsi="Times New Roman" w:cs="Times New Roman"/>
          <w:sz w:val="28"/>
          <w:szCs w:val="28"/>
        </w:rPr>
        <w:t>долево</w:t>
      </w:r>
      <w:r w:rsidR="00F17B27">
        <w:rPr>
          <w:rFonts w:ascii="Times New Roman" w:hAnsi="Times New Roman" w:cs="Times New Roman"/>
          <w:sz w:val="28"/>
          <w:szCs w:val="28"/>
        </w:rPr>
        <w:t>е</w:t>
      </w:r>
      <w:r w:rsidRPr="00997981">
        <w:rPr>
          <w:rFonts w:ascii="Times New Roman" w:hAnsi="Times New Roman" w:cs="Times New Roman"/>
          <w:sz w:val="28"/>
          <w:szCs w:val="28"/>
        </w:rPr>
        <w:t xml:space="preserve"> участи</w:t>
      </w:r>
      <w:r w:rsidR="00F17B27">
        <w:rPr>
          <w:rFonts w:ascii="Times New Roman" w:hAnsi="Times New Roman" w:cs="Times New Roman"/>
          <w:sz w:val="28"/>
          <w:szCs w:val="28"/>
        </w:rPr>
        <w:t>е</w:t>
      </w:r>
      <w:r w:rsidRPr="00997981">
        <w:rPr>
          <w:rFonts w:ascii="Times New Roman" w:hAnsi="Times New Roman" w:cs="Times New Roman"/>
          <w:sz w:val="28"/>
          <w:szCs w:val="28"/>
        </w:rPr>
        <w:t xml:space="preserve"> местного бюджет</w:t>
      </w:r>
      <w:r w:rsidR="00997981">
        <w:rPr>
          <w:rFonts w:ascii="Times New Roman" w:hAnsi="Times New Roman" w:cs="Times New Roman"/>
          <w:sz w:val="28"/>
          <w:szCs w:val="28"/>
        </w:rPr>
        <w:t>а на ремонт автомобильных дорог;</w:t>
      </w:r>
    </w:p>
    <w:p w:rsidR="00997981" w:rsidRPr="00997981" w:rsidRDefault="00997981" w:rsidP="00651789">
      <w:pPr>
        <w:pStyle w:val="ConsPlusNormal"/>
        <w:numPr>
          <w:ilvl w:val="0"/>
          <w:numId w:val="8"/>
        </w:numPr>
        <w:spacing w:line="360" w:lineRule="exact"/>
        <w:jc w:val="both"/>
        <w:rPr>
          <w:rFonts w:ascii="Times New Roman" w:hAnsi="Times New Roman" w:cs="Times New Roman"/>
          <w:sz w:val="28"/>
          <w:szCs w:val="28"/>
        </w:rPr>
      </w:pPr>
      <w:r w:rsidRPr="00D504FF">
        <w:rPr>
          <w:rFonts w:ascii="Times New Roman" w:hAnsi="Times New Roman" w:cs="Times New Roman"/>
          <w:sz w:val="28"/>
          <w:szCs w:val="28"/>
        </w:rPr>
        <w:t>на</w:t>
      </w:r>
      <w:r w:rsidRPr="00AB2855">
        <w:rPr>
          <w:rFonts w:ascii="Times New Roman" w:hAnsi="Times New Roman" w:cs="Times New Roman"/>
          <w:sz w:val="28"/>
          <w:szCs w:val="28"/>
        </w:rPr>
        <w:t xml:space="preserve"> </w:t>
      </w:r>
      <w:r w:rsidRPr="00D504FF">
        <w:rPr>
          <w:rFonts w:ascii="Times New Roman" w:hAnsi="Times New Roman" w:cs="Times New Roman"/>
          <w:sz w:val="28"/>
          <w:szCs w:val="28"/>
        </w:rPr>
        <w:t>обеспечение работников муниципальных учреждений путевками на санаторно-курортное лечение</w:t>
      </w:r>
      <w:r>
        <w:rPr>
          <w:rFonts w:ascii="Times New Roman" w:hAnsi="Times New Roman" w:cs="Times New Roman"/>
          <w:sz w:val="28"/>
          <w:szCs w:val="28"/>
        </w:rPr>
        <w:t>.</w:t>
      </w:r>
    </w:p>
    <w:p w:rsidR="00CC73CC" w:rsidRDefault="00CC73CC" w:rsidP="00651789">
      <w:pPr>
        <w:numPr>
          <w:ilvl w:val="0"/>
          <w:numId w:val="2"/>
        </w:numPr>
        <w:spacing w:line="360" w:lineRule="exact"/>
        <w:contextualSpacing/>
        <w:jc w:val="both"/>
        <w:rPr>
          <w:sz w:val="28"/>
          <w:szCs w:val="28"/>
        </w:rPr>
      </w:pPr>
      <w:r w:rsidRPr="00F0745A">
        <w:rPr>
          <w:sz w:val="28"/>
          <w:szCs w:val="28"/>
        </w:rPr>
        <w:t>на мероприятия в сфере жилищно-коммунального хозяйства</w:t>
      </w:r>
      <w:r>
        <w:rPr>
          <w:sz w:val="28"/>
          <w:szCs w:val="28"/>
        </w:rPr>
        <w:t>, в том числе</w:t>
      </w:r>
      <w:r w:rsidRPr="00F0745A">
        <w:rPr>
          <w:sz w:val="28"/>
          <w:szCs w:val="28"/>
        </w:rPr>
        <w:t xml:space="preserve"> </w:t>
      </w:r>
      <w:r w:rsidRPr="007B768F">
        <w:rPr>
          <w:sz w:val="28"/>
          <w:szCs w:val="28"/>
        </w:rPr>
        <w:t>на оплату взносов на капитальный ремонт в целях формирования Фонда капитального ремонта;</w:t>
      </w:r>
    </w:p>
    <w:p w:rsidR="003A5D3A" w:rsidRDefault="003A5D3A" w:rsidP="00651789">
      <w:pPr>
        <w:numPr>
          <w:ilvl w:val="0"/>
          <w:numId w:val="2"/>
        </w:numPr>
        <w:spacing w:line="360" w:lineRule="exact"/>
        <w:contextualSpacing/>
        <w:jc w:val="both"/>
        <w:rPr>
          <w:sz w:val="28"/>
          <w:szCs w:val="28"/>
        </w:rPr>
      </w:pPr>
      <w:r w:rsidRPr="003A5D3A">
        <w:rPr>
          <w:sz w:val="28"/>
          <w:szCs w:val="28"/>
        </w:rPr>
        <w:t xml:space="preserve">на формирование земельных участков </w:t>
      </w:r>
      <w:r>
        <w:rPr>
          <w:sz w:val="28"/>
          <w:szCs w:val="28"/>
        </w:rPr>
        <w:t xml:space="preserve">и </w:t>
      </w:r>
      <w:r w:rsidRPr="003A5D3A">
        <w:rPr>
          <w:sz w:val="28"/>
          <w:szCs w:val="28"/>
        </w:rPr>
        <w:t xml:space="preserve">постановку </w:t>
      </w:r>
      <w:r>
        <w:rPr>
          <w:sz w:val="28"/>
          <w:szCs w:val="28"/>
        </w:rPr>
        <w:t xml:space="preserve">их </w:t>
      </w:r>
      <w:r w:rsidRPr="003A5D3A">
        <w:rPr>
          <w:sz w:val="28"/>
          <w:szCs w:val="28"/>
        </w:rPr>
        <w:t>на государственный кадастровый учет</w:t>
      </w:r>
      <w:r>
        <w:rPr>
          <w:sz w:val="28"/>
          <w:szCs w:val="28"/>
        </w:rPr>
        <w:t>,</w:t>
      </w:r>
      <w:r w:rsidRPr="003A5D3A">
        <w:rPr>
          <w:sz w:val="28"/>
          <w:szCs w:val="28"/>
        </w:rPr>
        <w:t xml:space="preserve"> на подготовку проектов территориального планирования в целях подготовки инвестиционных площадок и развития жилищного строительства</w:t>
      </w:r>
      <w:r>
        <w:rPr>
          <w:sz w:val="28"/>
          <w:szCs w:val="28"/>
        </w:rPr>
        <w:t>;</w:t>
      </w:r>
    </w:p>
    <w:p w:rsidR="00EE4C24" w:rsidRPr="003A5D3A" w:rsidRDefault="003A5D3A" w:rsidP="00651789">
      <w:pPr>
        <w:numPr>
          <w:ilvl w:val="0"/>
          <w:numId w:val="2"/>
        </w:numPr>
        <w:spacing w:line="360" w:lineRule="exact"/>
        <w:contextualSpacing/>
        <w:jc w:val="both"/>
        <w:rPr>
          <w:sz w:val="28"/>
          <w:szCs w:val="28"/>
        </w:rPr>
      </w:pPr>
      <w:r w:rsidRPr="00975B72">
        <w:rPr>
          <w:sz w:val="28"/>
          <w:szCs w:val="28"/>
        </w:rPr>
        <w:t>на мероприятия по обеспечению безопасности жизнедеятельности населения</w:t>
      </w:r>
      <w:r>
        <w:rPr>
          <w:sz w:val="28"/>
          <w:szCs w:val="28"/>
        </w:rPr>
        <w:t xml:space="preserve"> и</w:t>
      </w:r>
      <w:r w:rsidRPr="00975B72">
        <w:rPr>
          <w:sz w:val="28"/>
          <w:szCs w:val="28"/>
        </w:rPr>
        <w:t xml:space="preserve"> мероприятия в сфере охраны окружающей среды</w:t>
      </w:r>
      <w:r>
        <w:rPr>
          <w:sz w:val="28"/>
          <w:szCs w:val="28"/>
        </w:rPr>
        <w:t xml:space="preserve">; </w:t>
      </w:r>
    </w:p>
    <w:p w:rsidR="00997981" w:rsidRDefault="00824A25" w:rsidP="00651789">
      <w:pPr>
        <w:pStyle w:val="ConsPlusNormal"/>
        <w:numPr>
          <w:ilvl w:val="0"/>
          <w:numId w:val="2"/>
        </w:numPr>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на </w:t>
      </w:r>
      <w:r w:rsidRPr="00824A25">
        <w:rPr>
          <w:rFonts w:ascii="Times New Roman" w:hAnsi="Times New Roman" w:cs="Times New Roman"/>
          <w:sz w:val="28"/>
          <w:szCs w:val="28"/>
        </w:rPr>
        <w:t>поддержк</w:t>
      </w:r>
      <w:r>
        <w:rPr>
          <w:rFonts w:ascii="Times New Roman" w:hAnsi="Times New Roman" w:cs="Times New Roman"/>
          <w:sz w:val="28"/>
          <w:szCs w:val="28"/>
        </w:rPr>
        <w:t>у</w:t>
      </w:r>
      <w:r w:rsidRPr="00824A25">
        <w:rPr>
          <w:rFonts w:ascii="Times New Roman" w:hAnsi="Times New Roman" w:cs="Times New Roman"/>
          <w:sz w:val="28"/>
          <w:szCs w:val="28"/>
        </w:rPr>
        <w:t xml:space="preserve"> </w:t>
      </w:r>
      <w:r>
        <w:rPr>
          <w:rFonts w:ascii="Times New Roman" w:hAnsi="Times New Roman" w:cs="Times New Roman"/>
          <w:sz w:val="28"/>
          <w:szCs w:val="28"/>
        </w:rPr>
        <w:t>детей</w:t>
      </w:r>
      <w:r w:rsidRPr="00824A25">
        <w:rPr>
          <w:rFonts w:ascii="Times New Roman" w:hAnsi="Times New Roman" w:cs="Times New Roman"/>
          <w:sz w:val="28"/>
          <w:szCs w:val="28"/>
        </w:rPr>
        <w:t xml:space="preserve"> с ограниченными возможностями</w:t>
      </w:r>
      <w:r>
        <w:rPr>
          <w:rFonts w:ascii="Times New Roman" w:hAnsi="Times New Roman" w:cs="Times New Roman"/>
          <w:sz w:val="28"/>
          <w:szCs w:val="28"/>
        </w:rPr>
        <w:t xml:space="preserve"> (</w:t>
      </w:r>
      <w:r w:rsidRPr="00824A25">
        <w:rPr>
          <w:rFonts w:ascii="Times New Roman" w:hAnsi="Times New Roman" w:cs="Times New Roman"/>
          <w:sz w:val="28"/>
          <w:szCs w:val="28"/>
        </w:rPr>
        <w:t>средства для обеспечения питания детей в дошкольных и общеобразовательных учреждениях</w:t>
      </w:r>
      <w:r>
        <w:rPr>
          <w:rFonts w:ascii="Times New Roman" w:hAnsi="Times New Roman" w:cs="Times New Roman"/>
          <w:sz w:val="28"/>
          <w:szCs w:val="28"/>
        </w:rPr>
        <w:t>);</w:t>
      </w:r>
    </w:p>
    <w:p w:rsidR="00824A25" w:rsidRPr="00997981" w:rsidRDefault="00824A25" w:rsidP="00651789">
      <w:pPr>
        <w:pStyle w:val="ConsPlusNormal"/>
        <w:numPr>
          <w:ilvl w:val="0"/>
          <w:numId w:val="2"/>
        </w:numPr>
        <w:spacing w:line="360" w:lineRule="exact"/>
        <w:jc w:val="both"/>
        <w:rPr>
          <w:rFonts w:ascii="Times New Roman" w:hAnsi="Times New Roman" w:cs="Times New Roman"/>
          <w:sz w:val="28"/>
          <w:szCs w:val="28"/>
        </w:rPr>
      </w:pPr>
      <w:r w:rsidRPr="00997981">
        <w:rPr>
          <w:rFonts w:ascii="Times New Roman" w:hAnsi="Times New Roman" w:cs="Times New Roman"/>
          <w:sz w:val="28"/>
          <w:szCs w:val="28"/>
        </w:rPr>
        <w:t>на оздоровительные мероприятия для детей;</w:t>
      </w:r>
    </w:p>
    <w:p w:rsidR="00824A25" w:rsidRDefault="00824A25" w:rsidP="00651789">
      <w:pPr>
        <w:numPr>
          <w:ilvl w:val="0"/>
          <w:numId w:val="2"/>
        </w:numPr>
        <w:spacing w:line="360" w:lineRule="exact"/>
        <w:contextualSpacing/>
        <w:jc w:val="both"/>
        <w:rPr>
          <w:sz w:val="28"/>
          <w:szCs w:val="28"/>
        </w:rPr>
      </w:pPr>
      <w:r>
        <w:rPr>
          <w:sz w:val="28"/>
          <w:szCs w:val="28"/>
        </w:rPr>
        <w:t xml:space="preserve">на </w:t>
      </w:r>
      <w:r w:rsidRPr="00824A25">
        <w:rPr>
          <w:sz w:val="28"/>
          <w:szCs w:val="28"/>
        </w:rPr>
        <w:t>обеспечение организации досуга населения, патриотического воспитания и трудовой занятости несовершеннолетних и молодежи;</w:t>
      </w:r>
    </w:p>
    <w:p w:rsidR="00EE4C24" w:rsidRDefault="00EE4C24" w:rsidP="00651789">
      <w:pPr>
        <w:numPr>
          <w:ilvl w:val="0"/>
          <w:numId w:val="2"/>
        </w:numPr>
        <w:spacing w:line="360" w:lineRule="exact"/>
        <w:contextualSpacing/>
        <w:jc w:val="both"/>
        <w:rPr>
          <w:sz w:val="28"/>
          <w:szCs w:val="28"/>
        </w:rPr>
      </w:pPr>
      <w:r>
        <w:rPr>
          <w:sz w:val="28"/>
          <w:szCs w:val="28"/>
        </w:rPr>
        <w:t xml:space="preserve">на </w:t>
      </w:r>
      <w:r w:rsidRPr="00EE4C24">
        <w:rPr>
          <w:sz w:val="28"/>
          <w:szCs w:val="28"/>
        </w:rPr>
        <w:t>организаци</w:t>
      </w:r>
      <w:r>
        <w:rPr>
          <w:sz w:val="28"/>
          <w:szCs w:val="28"/>
        </w:rPr>
        <w:t>ю</w:t>
      </w:r>
      <w:r w:rsidRPr="00EE4C24">
        <w:rPr>
          <w:sz w:val="28"/>
          <w:szCs w:val="28"/>
        </w:rPr>
        <w:t xml:space="preserve"> перевозок пассажиров автомобильным транспортом </w:t>
      </w:r>
      <w:r>
        <w:rPr>
          <w:sz w:val="28"/>
          <w:szCs w:val="28"/>
        </w:rPr>
        <w:t>в отдаленные территории СГО,</w:t>
      </w:r>
      <w:r w:rsidRPr="00EE4C24">
        <w:rPr>
          <w:sz w:val="28"/>
          <w:szCs w:val="28"/>
        </w:rPr>
        <w:t xml:space="preserve"> а также проезд учащихся</w:t>
      </w:r>
      <w:r>
        <w:rPr>
          <w:sz w:val="28"/>
          <w:szCs w:val="28"/>
        </w:rPr>
        <w:t xml:space="preserve"> 1-4 классов муниципальных школ;</w:t>
      </w:r>
    </w:p>
    <w:p w:rsidR="00CC73CC" w:rsidRDefault="00CC73CC" w:rsidP="00651789">
      <w:pPr>
        <w:numPr>
          <w:ilvl w:val="0"/>
          <w:numId w:val="2"/>
        </w:numPr>
        <w:spacing w:line="360" w:lineRule="exact"/>
        <w:contextualSpacing/>
        <w:jc w:val="both"/>
        <w:rPr>
          <w:sz w:val="28"/>
          <w:szCs w:val="28"/>
        </w:rPr>
      </w:pPr>
      <w:r>
        <w:rPr>
          <w:sz w:val="28"/>
          <w:szCs w:val="28"/>
        </w:rPr>
        <w:t xml:space="preserve">на </w:t>
      </w:r>
      <w:r w:rsidRPr="00CE21DB">
        <w:rPr>
          <w:sz w:val="28"/>
          <w:szCs w:val="28"/>
        </w:rPr>
        <w:t>исполнение публичных нормативных обязательств Соликамского городского округа</w:t>
      </w:r>
      <w:r>
        <w:rPr>
          <w:sz w:val="28"/>
          <w:szCs w:val="28"/>
        </w:rPr>
        <w:t>.</w:t>
      </w:r>
    </w:p>
    <w:p w:rsidR="00CC73CC" w:rsidRPr="00CE13C7" w:rsidRDefault="00CC73CC" w:rsidP="00651789">
      <w:pPr>
        <w:tabs>
          <w:tab w:val="left" w:pos="616"/>
          <w:tab w:val="left" w:pos="841"/>
          <w:tab w:val="left" w:pos="1000"/>
        </w:tabs>
        <w:autoSpaceDE w:val="0"/>
        <w:autoSpaceDN w:val="0"/>
        <w:adjustRightInd w:val="0"/>
        <w:spacing w:line="360" w:lineRule="exact"/>
        <w:ind w:firstLine="360"/>
        <w:jc w:val="both"/>
        <w:outlineLvl w:val="1"/>
        <w:rPr>
          <w:sz w:val="28"/>
          <w:szCs w:val="28"/>
        </w:rPr>
      </w:pPr>
      <w:r>
        <w:rPr>
          <w:b/>
          <w:i/>
          <w:sz w:val="28"/>
          <w:szCs w:val="28"/>
          <w:u w:val="single"/>
        </w:rPr>
        <w:t>В</w:t>
      </w:r>
      <w:r w:rsidRPr="00CE13C7">
        <w:rPr>
          <w:b/>
          <w:i/>
          <w:sz w:val="28"/>
          <w:szCs w:val="28"/>
          <w:u w:val="single"/>
        </w:rPr>
        <w:t>ывод:</w:t>
      </w:r>
      <w:r w:rsidRPr="00964EA5">
        <w:rPr>
          <w:b/>
          <w:i/>
          <w:sz w:val="28"/>
          <w:szCs w:val="28"/>
        </w:rPr>
        <w:t xml:space="preserve"> </w:t>
      </w:r>
      <w:r w:rsidRPr="00CE13C7">
        <w:rPr>
          <w:sz w:val="28"/>
          <w:szCs w:val="28"/>
        </w:rPr>
        <w:t xml:space="preserve">Основные направления </w:t>
      </w:r>
      <w:r w:rsidR="00F97B9A">
        <w:rPr>
          <w:sz w:val="28"/>
          <w:szCs w:val="28"/>
        </w:rPr>
        <w:t xml:space="preserve">налоговой, </w:t>
      </w:r>
      <w:r w:rsidRPr="00CE13C7">
        <w:rPr>
          <w:sz w:val="28"/>
          <w:szCs w:val="28"/>
        </w:rPr>
        <w:t>бюджетной политики Соликамского городского округа соответствуют целям бюджетной и налоговой  политики страны</w:t>
      </w:r>
      <w:r w:rsidR="001725A4">
        <w:rPr>
          <w:sz w:val="28"/>
          <w:szCs w:val="28"/>
        </w:rPr>
        <w:t xml:space="preserve"> и</w:t>
      </w:r>
      <w:r w:rsidRPr="00CE13C7">
        <w:rPr>
          <w:sz w:val="28"/>
          <w:szCs w:val="28"/>
        </w:rPr>
        <w:t xml:space="preserve"> Пермского края.  </w:t>
      </w:r>
    </w:p>
    <w:p w:rsidR="000C3ADA" w:rsidRDefault="000C3ADA" w:rsidP="00651789">
      <w:pPr>
        <w:tabs>
          <w:tab w:val="left" w:pos="616"/>
          <w:tab w:val="left" w:pos="841"/>
          <w:tab w:val="left" w:pos="1000"/>
        </w:tabs>
        <w:autoSpaceDE w:val="0"/>
        <w:autoSpaceDN w:val="0"/>
        <w:adjustRightInd w:val="0"/>
        <w:spacing w:line="360" w:lineRule="exact"/>
        <w:ind w:firstLine="360"/>
        <w:jc w:val="center"/>
        <w:outlineLvl w:val="1"/>
        <w:rPr>
          <w:b/>
          <w:i/>
          <w:sz w:val="28"/>
          <w:szCs w:val="28"/>
        </w:rPr>
      </w:pPr>
    </w:p>
    <w:p w:rsidR="00CC73CC" w:rsidRPr="00CE13C7" w:rsidRDefault="00CC73CC" w:rsidP="00651789">
      <w:pPr>
        <w:tabs>
          <w:tab w:val="left" w:pos="616"/>
          <w:tab w:val="left" w:pos="841"/>
          <w:tab w:val="left" w:pos="1000"/>
        </w:tabs>
        <w:autoSpaceDE w:val="0"/>
        <w:autoSpaceDN w:val="0"/>
        <w:adjustRightInd w:val="0"/>
        <w:spacing w:line="360" w:lineRule="exact"/>
        <w:ind w:firstLine="360"/>
        <w:jc w:val="center"/>
        <w:outlineLvl w:val="1"/>
        <w:rPr>
          <w:b/>
          <w:i/>
          <w:sz w:val="28"/>
          <w:szCs w:val="28"/>
        </w:rPr>
      </w:pPr>
      <w:r w:rsidRPr="009F4661">
        <w:rPr>
          <w:b/>
          <w:i/>
          <w:sz w:val="28"/>
          <w:szCs w:val="28"/>
        </w:rPr>
        <w:t>5</w:t>
      </w:r>
      <w:r w:rsidRPr="00CE13C7">
        <w:rPr>
          <w:b/>
          <w:i/>
          <w:sz w:val="28"/>
          <w:szCs w:val="28"/>
        </w:rPr>
        <w:t>. Анализ  текстовой части представленного Проекта решения</w:t>
      </w:r>
    </w:p>
    <w:p w:rsidR="00CC73CC"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sidRPr="00CE13C7">
        <w:rPr>
          <w:b/>
          <w:i/>
          <w:sz w:val="28"/>
          <w:szCs w:val="28"/>
        </w:rPr>
        <w:tab/>
      </w:r>
      <w:r w:rsidRPr="00451FCC">
        <w:rPr>
          <w:sz w:val="28"/>
          <w:szCs w:val="28"/>
        </w:rPr>
        <w:t>Пунктом</w:t>
      </w:r>
      <w:r>
        <w:rPr>
          <w:b/>
          <w:i/>
          <w:sz w:val="28"/>
          <w:szCs w:val="28"/>
        </w:rPr>
        <w:t xml:space="preserve"> </w:t>
      </w:r>
      <w:r w:rsidRPr="00CE13C7">
        <w:rPr>
          <w:sz w:val="28"/>
          <w:szCs w:val="28"/>
        </w:rPr>
        <w:t xml:space="preserve">3 ст. 92.1 Бюджетного кодекса РФ для муниципальных образований </w:t>
      </w:r>
      <w:r>
        <w:rPr>
          <w:sz w:val="28"/>
          <w:szCs w:val="28"/>
        </w:rPr>
        <w:t xml:space="preserve">установлены ограничения </w:t>
      </w:r>
      <w:r w:rsidRPr="00CE13C7">
        <w:rPr>
          <w:sz w:val="28"/>
          <w:szCs w:val="28"/>
        </w:rPr>
        <w:t>размер</w:t>
      </w:r>
      <w:r>
        <w:rPr>
          <w:sz w:val="28"/>
          <w:szCs w:val="28"/>
        </w:rPr>
        <w:t>а</w:t>
      </w:r>
      <w:r w:rsidRPr="00CE13C7">
        <w:rPr>
          <w:sz w:val="28"/>
          <w:szCs w:val="28"/>
        </w:rPr>
        <w:t xml:space="preserve"> дефицита </w:t>
      </w:r>
      <w:r>
        <w:rPr>
          <w:sz w:val="28"/>
          <w:szCs w:val="28"/>
        </w:rPr>
        <w:t>бюджета – не более</w:t>
      </w:r>
      <w:r w:rsidRPr="000E1175">
        <w:rPr>
          <w:sz w:val="28"/>
          <w:szCs w:val="28"/>
        </w:rPr>
        <w:t xml:space="preserve"> 10 процентов </w:t>
      </w:r>
      <w:r w:rsidRPr="000E1175">
        <w:rPr>
          <w:sz w:val="28"/>
          <w:szCs w:val="28"/>
        </w:rPr>
        <w:lastRenderedPageBreak/>
        <w:t>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Pr="00CE13C7">
        <w:rPr>
          <w:sz w:val="28"/>
          <w:szCs w:val="28"/>
        </w:rPr>
        <w:t xml:space="preserve">. </w:t>
      </w:r>
      <w:r>
        <w:rPr>
          <w:sz w:val="28"/>
          <w:szCs w:val="28"/>
        </w:rPr>
        <w:t xml:space="preserve">При этом </w:t>
      </w:r>
      <w:r w:rsidRPr="00AB11B1">
        <w:rPr>
          <w:sz w:val="28"/>
          <w:szCs w:val="28"/>
        </w:rPr>
        <w:t xml:space="preserve">дефицит местного бюджета может превысить ограничения </w:t>
      </w:r>
      <w:r>
        <w:rPr>
          <w:sz w:val="28"/>
          <w:szCs w:val="28"/>
        </w:rPr>
        <w:t>в</w:t>
      </w:r>
      <w:r w:rsidRPr="000E1175">
        <w:rPr>
          <w:sz w:val="28"/>
          <w:szCs w:val="28"/>
        </w:rPr>
        <w:t xml:space="preserve"> случае утверждения муниципальным правовым актом представительного органа муниципального образования о бюджете в составе </w:t>
      </w:r>
      <w:proofErr w:type="gramStart"/>
      <w:r w:rsidRPr="000E1175">
        <w:rPr>
          <w:sz w:val="28"/>
          <w:szCs w:val="28"/>
        </w:rPr>
        <w:t>источников финансирования дефицита</w:t>
      </w:r>
      <w:r w:rsidRPr="00AB11B1">
        <w:t xml:space="preserve"> </w:t>
      </w:r>
      <w:r w:rsidRPr="00AB11B1">
        <w:rPr>
          <w:sz w:val="28"/>
          <w:szCs w:val="28"/>
        </w:rPr>
        <w:t>снижения остатков средств</w:t>
      </w:r>
      <w:proofErr w:type="gramEnd"/>
      <w:r w:rsidRPr="00AB11B1">
        <w:rPr>
          <w:sz w:val="28"/>
          <w:szCs w:val="28"/>
        </w:rPr>
        <w:t xml:space="preserve"> на счетах по учету средств местного бюджета</w:t>
      </w:r>
      <w:r>
        <w:rPr>
          <w:sz w:val="28"/>
          <w:szCs w:val="28"/>
        </w:rPr>
        <w:t>.</w:t>
      </w:r>
    </w:p>
    <w:p w:rsidR="00CC73CC"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t>Р</w:t>
      </w:r>
      <w:r w:rsidRPr="00CE13C7">
        <w:rPr>
          <w:sz w:val="28"/>
          <w:szCs w:val="28"/>
        </w:rPr>
        <w:t xml:space="preserve">азмер дефицита в Проекте бюджета составляет  </w:t>
      </w:r>
      <w:r w:rsidR="00A63051">
        <w:rPr>
          <w:sz w:val="28"/>
          <w:szCs w:val="28"/>
        </w:rPr>
        <w:t>11,5</w:t>
      </w:r>
      <w:r w:rsidRPr="00C82E6F">
        <w:rPr>
          <w:sz w:val="28"/>
          <w:szCs w:val="28"/>
        </w:rPr>
        <w:t xml:space="preserve"> %,  0 %,  0 %</w:t>
      </w:r>
      <w:r w:rsidRPr="00CE13C7">
        <w:rPr>
          <w:sz w:val="28"/>
          <w:szCs w:val="28"/>
        </w:rPr>
        <w:t xml:space="preserve"> от </w:t>
      </w:r>
      <w:r>
        <w:rPr>
          <w:sz w:val="28"/>
          <w:szCs w:val="28"/>
        </w:rPr>
        <w:t>планового</w:t>
      </w:r>
      <w:r w:rsidRPr="00CE13C7">
        <w:rPr>
          <w:sz w:val="28"/>
          <w:szCs w:val="28"/>
        </w:rPr>
        <w:t xml:space="preserve"> годового объема доходов бюджета без учета утвержденного объема безвозмездных поступлений, соответственно на 20</w:t>
      </w:r>
      <w:r w:rsidR="009F4661">
        <w:rPr>
          <w:sz w:val="28"/>
          <w:szCs w:val="28"/>
        </w:rPr>
        <w:t>2</w:t>
      </w:r>
      <w:r w:rsidR="00A63051">
        <w:rPr>
          <w:sz w:val="28"/>
          <w:szCs w:val="28"/>
        </w:rPr>
        <w:t>1</w:t>
      </w:r>
      <w:r w:rsidRPr="00CE13C7">
        <w:rPr>
          <w:sz w:val="28"/>
          <w:szCs w:val="28"/>
        </w:rPr>
        <w:t>, 20</w:t>
      </w:r>
      <w:r>
        <w:rPr>
          <w:sz w:val="28"/>
          <w:szCs w:val="28"/>
        </w:rPr>
        <w:t>2</w:t>
      </w:r>
      <w:r w:rsidR="00A63051">
        <w:rPr>
          <w:sz w:val="28"/>
          <w:szCs w:val="28"/>
        </w:rPr>
        <w:t>2</w:t>
      </w:r>
      <w:r w:rsidRPr="00CE13C7">
        <w:rPr>
          <w:sz w:val="28"/>
          <w:szCs w:val="28"/>
        </w:rPr>
        <w:t>,20</w:t>
      </w:r>
      <w:r>
        <w:rPr>
          <w:sz w:val="28"/>
          <w:szCs w:val="28"/>
        </w:rPr>
        <w:t>2</w:t>
      </w:r>
      <w:r w:rsidR="00A63051">
        <w:rPr>
          <w:sz w:val="28"/>
          <w:szCs w:val="28"/>
        </w:rPr>
        <w:t>3</w:t>
      </w:r>
      <w:r w:rsidRPr="00CE13C7">
        <w:rPr>
          <w:sz w:val="28"/>
          <w:szCs w:val="28"/>
        </w:rPr>
        <w:t xml:space="preserve"> годы.  </w:t>
      </w:r>
    </w:p>
    <w:p w:rsidR="00CC73CC" w:rsidRDefault="00A63051" w:rsidP="00651789">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r>
      <w:r w:rsidR="00CC73CC" w:rsidRPr="008B02E9">
        <w:rPr>
          <w:sz w:val="28"/>
          <w:szCs w:val="28"/>
        </w:rPr>
        <w:t>Учитывая, что источником финансирования дефицита определены остатки денежных средств на счетах бюджета</w:t>
      </w:r>
      <w:r w:rsidR="00CC73CC">
        <w:rPr>
          <w:sz w:val="28"/>
          <w:szCs w:val="28"/>
        </w:rPr>
        <w:t xml:space="preserve"> СГО</w:t>
      </w:r>
      <w:r w:rsidR="00CC73CC" w:rsidRPr="008B02E9">
        <w:rPr>
          <w:sz w:val="28"/>
          <w:szCs w:val="28"/>
        </w:rPr>
        <w:t>, данный факт не противоречит части 3 статьи 92.1 Бюджетного Кодекса Российской Федерации.</w:t>
      </w:r>
    </w:p>
    <w:p w:rsidR="00CC73CC" w:rsidRPr="00CE13C7" w:rsidRDefault="00CC73CC" w:rsidP="00651789">
      <w:pPr>
        <w:tabs>
          <w:tab w:val="left" w:pos="616"/>
          <w:tab w:val="left" w:pos="841"/>
          <w:tab w:val="left" w:pos="1000"/>
        </w:tabs>
        <w:autoSpaceDE w:val="0"/>
        <w:autoSpaceDN w:val="0"/>
        <w:adjustRightInd w:val="0"/>
        <w:spacing w:line="360" w:lineRule="exact"/>
        <w:jc w:val="both"/>
        <w:outlineLvl w:val="1"/>
        <w:rPr>
          <w:b/>
          <w:i/>
          <w:sz w:val="28"/>
          <w:szCs w:val="28"/>
        </w:rPr>
      </w:pPr>
      <w:r w:rsidRPr="00CE13C7">
        <w:rPr>
          <w:b/>
          <w:i/>
          <w:sz w:val="28"/>
          <w:szCs w:val="28"/>
        </w:rPr>
        <w:tab/>
      </w:r>
      <w:r w:rsidRPr="00D6119B">
        <w:rPr>
          <w:sz w:val="28"/>
          <w:szCs w:val="28"/>
        </w:rPr>
        <w:t>В</w:t>
      </w:r>
      <w:r w:rsidRPr="00CE13C7">
        <w:rPr>
          <w:sz w:val="28"/>
          <w:szCs w:val="28"/>
        </w:rPr>
        <w:t>ерхний предел муниципального долга в проекте бюджета в 20</w:t>
      </w:r>
      <w:r w:rsidR="009F4661">
        <w:rPr>
          <w:sz w:val="28"/>
          <w:szCs w:val="28"/>
        </w:rPr>
        <w:t>2</w:t>
      </w:r>
      <w:r w:rsidR="00A63051">
        <w:rPr>
          <w:sz w:val="28"/>
          <w:szCs w:val="28"/>
        </w:rPr>
        <w:t>1</w:t>
      </w:r>
      <w:r w:rsidRPr="00CE13C7">
        <w:rPr>
          <w:sz w:val="28"/>
          <w:szCs w:val="28"/>
        </w:rPr>
        <w:t>,</w:t>
      </w:r>
      <w:r>
        <w:rPr>
          <w:sz w:val="28"/>
          <w:szCs w:val="28"/>
        </w:rPr>
        <w:t xml:space="preserve"> </w:t>
      </w:r>
      <w:r w:rsidRPr="00CE13C7">
        <w:rPr>
          <w:sz w:val="28"/>
          <w:szCs w:val="28"/>
        </w:rPr>
        <w:t>20</w:t>
      </w:r>
      <w:r>
        <w:rPr>
          <w:sz w:val="28"/>
          <w:szCs w:val="28"/>
        </w:rPr>
        <w:t>2</w:t>
      </w:r>
      <w:r w:rsidR="00A63051">
        <w:rPr>
          <w:sz w:val="28"/>
          <w:szCs w:val="28"/>
        </w:rPr>
        <w:t>2</w:t>
      </w:r>
      <w:r w:rsidRPr="00CE13C7">
        <w:rPr>
          <w:sz w:val="28"/>
          <w:szCs w:val="28"/>
        </w:rPr>
        <w:t>, 20</w:t>
      </w:r>
      <w:r>
        <w:rPr>
          <w:sz w:val="28"/>
          <w:szCs w:val="28"/>
        </w:rPr>
        <w:t>2</w:t>
      </w:r>
      <w:r w:rsidR="00A63051">
        <w:rPr>
          <w:sz w:val="28"/>
          <w:szCs w:val="28"/>
        </w:rPr>
        <w:t>3</w:t>
      </w:r>
      <w:r w:rsidRPr="00CE13C7">
        <w:rPr>
          <w:sz w:val="28"/>
          <w:szCs w:val="28"/>
        </w:rPr>
        <w:t xml:space="preserve"> годах предусмотрен со значением показателя равным нулю, что не противоречит п. 3 ст. 107 Бюджетного кодекса.</w:t>
      </w:r>
    </w:p>
    <w:p w:rsidR="00CC73CC"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sidRPr="00CE13C7">
        <w:rPr>
          <w:b/>
          <w:i/>
          <w:sz w:val="28"/>
          <w:szCs w:val="28"/>
        </w:rPr>
        <w:tab/>
      </w:r>
      <w:r w:rsidRPr="00CE13C7">
        <w:rPr>
          <w:sz w:val="28"/>
          <w:szCs w:val="28"/>
        </w:rPr>
        <w:t xml:space="preserve">Размер резервного фонда администрации </w:t>
      </w:r>
      <w:r w:rsidR="00F529E8">
        <w:rPr>
          <w:sz w:val="28"/>
          <w:szCs w:val="28"/>
        </w:rPr>
        <w:t>СГО</w:t>
      </w:r>
      <w:r w:rsidRPr="00CE13C7">
        <w:rPr>
          <w:sz w:val="28"/>
          <w:szCs w:val="28"/>
        </w:rPr>
        <w:t xml:space="preserve"> на 20</w:t>
      </w:r>
      <w:r w:rsidR="009F4661">
        <w:rPr>
          <w:sz w:val="28"/>
          <w:szCs w:val="28"/>
        </w:rPr>
        <w:t>2</w:t>
      </w:r>
      <w:r w:rsidR="00A63051">
        <w:rPr>
          <w:sz w:val="28"/>
          <w:szCs w:val="28"/>
        </w:rPr>
        <w:t>1</w:t>
      </w:r>
      <w:r w:rsidRPr="00CE13C7">
        <w:rPr>
          <w:sz w:val="28"/>
          <w:szCs w:val="28"/>
        </w:rPr>
        <w:t xml:space="preserve"> – 20</w:t>
      </w:r>
      <w:r>
        <w:rPr>
          <w:sz w:val="28"/>
          <w:szCs w:val="28"/>
        </w:rPr>
        <w:t>2</w:t>
      </w:r>
      <w:r w:rsidR="00A63051">
        <w:rPr>
          <w:sz w:val="28"/>
          <w:szCs w:val="28"/>
        </w:rPr>
        <w:t>3</w:t>
      </w:r>
      <w:r w:rsidRPr="00CE13C7">
        <w:rPr>
          <w:sz w:val="28"/>
          <w:szCs w:val="28"/>
        </w:rPr>
        <w:t xml:space="preserve"> годы не превышает ограничений, установленных п. 3 ст. 81 Бюджетного кодекса РФ</w:t>
      </w:r>
      <w:r>
        <w:rPr>
          <w:sz w:val="28"/>
          <w:szCs w:val="28"/>
        </w:rPr>
        <w:t xml:space="preserve"> (</w:t>
      </w:r>
      <w:r w:rsidRPr="00BD27DA">
        <w:rPr>
          <w:sz w:val="28"/>
          <w:szCs w:val="28"/>
        </w:rPr>
        <w:t xml:space="preserve">не </w:t>
      </w:r>
      <w:r>
        <w:rPr>
          <w:sz w:val="28"/>
          <w:szCs w:val="28"/>
        </w:rPr>
        <w:t>более</w:t>
      </w:r>
      <w:r w:rsidRPr="00BD27DA">
        <w:rPr>
          <w:sz w:val="28"/>
          <w:szCs w:val="28"/>
        </w:rPr>
        <w:t xml:space="preserve"> 3,0 % общего объема расходов бюджета</w:t>
      </w:r>
      <w:r>
        <w:rPr>
          <w:sz w:val="28"/>
          <w:szCs w:val="28"/>
        </w:rPr>
        <w:t>)</w:t>
      </w:r>
      <w:r w:rsidRPr="00CE13C7">
        <w:rPr>
          <w:sz w:val="28"/>
          <w:szCs w:val="28"/>
        </w:rPr>
        <w:t>.</w:t>
      </w:r>
    </w:p>
    <w:p w:rsidR="00CC73CC" w:rsidRPr="00BD27DA"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sidRPr="00CE13C7">
        <w:rPr>
          <w:sz w:val="28"/>
          <w:szCs w:val="28"/>
        </w:rPr>
        <w:t>Размер резервного фонда составляет:</w:t>
      </w:r>
    </w:p>
    <w:p w:rsidR="00CC73CC" w:rsidRPr="00CE13C7" w:rsidRDefault="00CC73CC" w:rsidP="00651789">
      <w:pPr>
        <w:tabs>
          <w:tab w:val="left" w:pos="616"/>
          <w:tab w:val="left" w:pos="841"/>
          <w:tab w:val="left" w:pos="1000"/>
        </w:tabs>
        <w:autoSpaceDE w:val="0"/>
        <w:autoSpaceDN w:val="0"/>
        <w:adjustRightInd w:val="0"/>
        <w:spacing w:line="360" w:lineRule="exact"/>
        <w:ind w:firstLine="360"/>
        <w:jc w:val="both"/>
        <w:outlineLvl w:val="1"/>
        <w:rPr>
          <w:sz w:val="28"/>
          <w:szCs w:val="28"/>
        </w:rPr>
      </w:pPr>
      <w:r w:rsidRPr="00CE13C7">
        <w:rPr>
          <w:sz w:val="28"/>
          <w:szCs w:val="28"/>
        </w:rPr>
        <w:t xml:space="preserve"> в 20</w:t>
      </w:r>
      <w:r w:rsidR="009F4661">
        <w:rPr>
          <w:sz w:val="28"/>
          <w:szCs w:val="28"/>
        </w:rPr>
        <w:t>2</w:t>
      </w:r>
      <w:r w:rsidR="00A63051">
        <w:rPr>
          <w:sz w:val="28"/>
          <w:szCs w:val="28"/>
        </w:rPr>
        <w:t>1</w:t>
      </w:r>
      <w:r>
        <w:rPr>
          <w:sz w:val="28"/>
          <w:szCs w:val="28"/>
        </w:rPr>
        <w:t xml:space="preserve"> </w:t>
      </w:r>
      <w:r w:rsidRPr="00CE13C7">
        <w:rPr>
          <w:sz w:val="28"/>
          <w:szCs w:val="28"/>
        </w:rPr>
        <w:t xml:space="preserve">г. – </w:t>
      </w:r>
      <w:r w:rsidR="00A63051">
        <w:rPr>
          <w:sz w:val="28"/>
          <w:szCs w:val="28"/>
        </w:rPr>
        <w:t>5 0</w:t>
      </w:r>
      <w:r w:rsidRPr="00647334">
        <w:rPr>
          <w:sz w:val="28"/>
          <w:szCs w:val="28"/>
        </w:rPr>
        <w:t>00,0 тыс. руб. или 0,1</w:t>
      </w:r>
      <w:r w:rsidR="00A63051">
        <w:rPr>
          <w:sz w:val="28"/>
          <w:szCs w:val="28"/>
        </w:rPr>
        <w:t>3</w:t>
      </w:r>
      <w:r w:rsidRPr="00647334">
        <w:rPr>
          <w:sz w:val="28"/>
          <w:szCs w:val="28"/>
        </w:rPr>
        <w:t xml:space="preserve"> %</w:t>
      </w:r>
      <w:r w:rsidRPr="00CE13C7">
        <w:rPr>
          <w:sz w:val="28"/>
          <w:szCs w:val="28"/>
        </w:rPr>
        <w:t xml:space="preserve"> от общего объема расходов;</w:t>
      </w:r>
    </w:p>
    <w:p w:rsidR="00CC73CC" w:rsidRPr="00CE13C7" w:rsidRDefault="00CC73CC" w:rsidP="00651789">
      <w:pPr>
        <w:tabs>
          <w:tab w:val="left" w:pos="616"/>
          <w:tab w:val="left" w:pos="841"/>
          <w:tab w:val="left" w:pos="1000"/>
        </w:tabs>
        <w:autoSpaceDE w:val="0"/>
        <w:autoSpaceDN w:val="0"/>
        <w:adjustRightInd w:val="0"/>
        <w:spacing w:line="360" w:lineRule="exact"/>
        <w:ind w:firstLine="360"/>
        <w:jc w:val="both"/>
        <w:outlineLvl w:val="1"/>
        <w:rPr>
          <w:sz w:val="28"/>
          <w:szCs w:val="28"/>
        </w:rPr>
      </w:pPr>
      <w:r w:rsidRPr="00CE13C7">
        <w:rPr>
          <w:sz w:val="28"/>
          <w:szCs w:val="28"/>
        </w:rPr>
        <w:t xml:space="preserve"> в 20</w:t>
      </w:r>
      <w:r>
        <w:rPr>
          <w:sz w:val="28"/>
          <w:szCs w:val="28"/>
        </w:rPr>
        <w:t>2</w:t>
      </w:r>
      <w:r w:rsidR="00A63051">
        <w:rPr>
          <w:sz w:val="28"/>
          <w:szCs w:val="28"/>
        </w:rPr>
        <w:t>2</w:t>
      </w:r>
      <w:r>
        <w:rPr>
          <w:sz w:val="28"/>
          <w:szCs w:val="28"/>
        </w:rPr>
        <w:t xml:space="preserve"> </w:t>
      </w:r>
      <w:r w:rsidRPr="00CE13C7">
        <w:rPr>
          <w:sz w:val="28"/>
          <w:szCs w:val="28"/>
        </w:rPr>
        <w:t xml:space="preserve">г. – </w:t>
      </w:r>
      <w:r w:rsidRPr="00647334">
        <w:rPr>
          <w:sz w:val="28"/>
          <w:szCs w:val="28"/>
        </w:rPr>
        <w:t>5</w:t>
      </w:r>
      <w:r w:rsidR="00AF6543" w:rsidRPr="00647334">
        <w:rPr>
          <w:sz w:val="28"/>
          <w:szCs w:val="28"/>
        </w:rPr>
        <w:t xml:space="preserve"> 0</w:t>
      </w:r>
      <w:r w:rsidRPr="00647334">
        <w:rPr>
          <w:sz w:val="28"/>
          <w:szCs w:val="28"/>
        </w:rPr>
        <w:t>00,0 тыс. руб. или 0,</w:t>
      </w:r>
      <w:r w:rsidR="00647334" w:rsidRPr="00647334">
        <w:rPr>
          <w:sz w:val="28"/>
          <w:szCs w:val="28"/>
        </w:rPr>
        <w:t>1</w:t>
      </w:r>
      <w:r w:rsidR="00E900AC">
        <w:rPr>
          <w:sz w:val="28"/>
          <w:szCs w:val="28"/>
        </w:rPr>
        <w:t xml:space="preserve">5 </w:t>
      </w:r>
      <w:r w:rsidRPr="00647334">
        <w:rPr>
          <w:sz w:val="28"/>
          <w:szCs w:val="28"/>
        </w:rPr>
        <w:t xml:space="preserve">% </w:t>
      </w:r>
      <w:r w:rsidRPr="00CE13C7">
        <w:rPr>
          <w:sz w:val="28"/>
          <w:szCs w:val="28"/>
        </w:rPr>
        <w:t>от общего объема расходов;</w:t>
      </w:r>
    </w:p>
    <w:p w:rsidR="00CC73CC" w:rsidRPr="00CE13C7" w:rsidRDefault="00CC73CC" w:rsidP="00651789">
      <w:pPr>
        <w:tabs>
          <w:tab w:val="left" w:pos="616"/>
          <w:tab w:val="left" w:pos="841"/>
          <w:tab w:val="left" w:pos="1000"/>
        </w:tabs>
        <w:autoSpaceDE w:val="0"/>
        <w:autoSpaceDN w:val="0"/>
        <w:adjustRightInd w:val="0"/>
        <w:spacing w:line="360" w:lineRule="exact"/>
        <w:ind w:firstLine="360"/>
        <w:jc w:val="both"/>
        <w:outlineLvl w:val="1"/>
        <w:rPr>
          <w:sz w:val="28"/>
          <w:szCs w:val="28"/>
        </w:rPr>
      </w:pPr>
      <w:r w:rsidRPr="00CE13C7">
        <w:rPr>
          <w:sz w:val="28"/>
          <w:szCs w:val="28"/>
        </w:rPr>
        <w:t xml:space="preserve"> в 20</w:t>
      </w:r>
      <w:r>
        <w:rPr>
          <w:sz w:val="28"/>
          <w:szCs w:val="28"/>
        </w:rPr>
        <w:t>2</w:t>
      </w:r>
      <w:r w:rsidR="00A63051">
        <w:rPr>
          <w:sz w:val="28"/>
          <w:szCs w:val="28"/>
        </w:rPr>
        <w:t>3</w:t>
      </w:r>
      <w:r>
        <w:rPr>
          <w:sz w:val="28"/>
          <w:szCs w:val="28"/>
        </w:rPr>
        <w:t xml:space="preserve"> </w:t>
      </w:r>
      <w:r w:rsidRPr="00CE13C7">
        <w:rPr>
          <w:sz w:val="28"/>
          <w:szCs w:val="28"/>
        </w:rPr>
        <w:t xml:space="preserve">г. </w:t>
      </w:r>
      <w:r>
        <w:rPr>
          <w:sz w:val="28"/>
          <w:szCs w:val="28"/>
        </w:rPr>
        <w:t>–</w:t>
      </w:r>
      <w:r w:rsidRPr="00CE13C7">
        <w:rPr>
          <w:sz w:val="28"/>
          <w:szCs w:val="28"/>
        </w:rPr>
        <w:t xml:space="preserve"> </w:t>
      </w:r>
      <w:r w:rsidR="00A63051">
        <w:rPr>
          <w:sz w:val="28"/>
          <w:szCs w:val="28"/>
        </w:rPr>
        <w:t>8</w:t>
      </w:r>
      <w:r w:rsidR="00AF6543" w:rsidRPr="00647334">
        <w:rPr>
          <w:sz w:val="28"/>
          <w:szCs w:val="28"/>
        </w:rPr>
        <w:t xml:space="preserve"> 000</w:t>
      </w:r>
      <w:r w:rsidRPr="00647334">
        <w:rPr>
          <w:sz w:val="28"/>
          <w:szCs w:val="28"/>
        </w:rPr>
        <w:t>,0 тыс. руб. или 0,</w:t>
      </w:r>
      <w:r w:rsidR="00A63051">
        <w:rPr>
          <w:sz w:val="28"/>
          <w:szCs w:val="28"/>
        </w:rPr>
        <w:t>26</w:t>
      </w:r>
      <w:r w:rsidRPr="00647334">
        <w:rPr>
          <w:sz w:val="28"/>
          <w:szCs w:val="28"/>
        </w:rPr>
        <w:t xml:space="preserve"> %</w:t>
      </w:r>
      <w:r w:rsidRPr="008934CE">
        <w:rPr>
          <w:sz w:val="28"/>
          <w:szCs w:val="28"/>
        </w:rPr>
        <w:t xml:space="preserve">  </w:t>
      </w:r>
      <w:r w:rsidRPr="00CE13C7">
        <w:rPr>
          <w:sz w:val="28"/>
          <w:szCs w:val="28"/>
        </w:rPr>
        <w:t>от общего объема расходов.</w:t>
      </w:r>
    </w:p>
    <w:p w:rsidR="00CC73CC" w:rsidRPr="00CE13C7"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sidRPr="00CE13C7">
        <w:rPr>
          <w:sz w:val="28"/>
          <w:szCs w:val="28"/>
        </w:rPr>
        <w:tab/>
        <w:t xml:space="preserve">Проектом предусмотрена программа муниципальных внутренних заимствований, что соответствует ст. 110.1 Бюджетного кодекса РФ. </w:t>
      </w:r>
    </w:p>
    <w:p w:rsidR="00CC73CC" w:rsidRPr="00CE13C7"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sidRPr="00CE13C7">
        <w:rPr>
          <w:sz w:val="28"/>
          <w:szCs w:val="28"/>
        </w:rPr>
        <w:tab/>
        <w:t xml:space="preserve">Проектом предусмотрена программа муниципальных гарантий, что соответствует ст. 110.2 Бюджетного кодекса РФ. </w:t>
      </w:r>
    </w:p>
    <w:p w:rsidR="00CC73CC" w:rsidRPr="00CE13C7"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sidRPr="00CE13C7">
        <w:rPr>
          <w:sz w:val="28"/>
          <w:szCs w:val="28"/>
        </w:rPr>
        <w:tab/>
      </w:r>
      <w:proofErr w:type="gramStart"/>
      <w:r w:rsidRPr="00DB02CC">
        <w:rPr>
          <w:sz w:val="28"/>
          <w:szCs w:val="28"/>
        </w:rPr>
        <w:t>Проектом   определены условно утвержденные расходы на 20</w:t>
      </w:r>
      <w:r>
        <w:rPr>
          <w:sz w:val="28"/>
          <w:szCs w:val="28"/>
        </w:rPr>
        <w:t>2</w:t>
      </w:r>
      <w:r w:rsidR="003749F7">
        <w:rPr>
          <w:sz w:val="28"/>
          <w:szCs w:val="28"/>
        </w:rPr>
        <w:t>2</w:t>
      </w:r>
      <w:r w:rsidR="00D10350">
        <w:rPr>
          <w:sz w:val="28"/>
          <w:szCs w:val="28"/>
        </w:rPr>
        <w:t xml:space="preserve"> г. – 2,</w:t>
      </w:r>
      <w:r w:rsidR="003749F7">
        <w:rPr>
          <w:sz w:val="28"/>
          <w:szCs w:val="28"/>
        </w:rPr>
        <w:t>5</w:t>
      </w:r>
      <w:r w:rsidR="00D10350">
        <w:rPr>
          <w:sz w:val="28"/>
          <w:szCs w:val="28"/>
        </w:rPr>
        <w:t xml:space="preserve"> %</w:t>
      </w:r>
      <w:r w:rsidRPr="00DB02CC">
        <w:rPr>
          <w:sz w:val="28"/>
          <w:szCs w:val="28"/>
        </w:rPr>
        <w:t>, 202</w:t>
      </w:r>
      <w:r w:rsidR="003749F7">
        <w:rPr>
          <w:sz w:val="28"/>
          <w:szCs w:val="28"/>
        </w:rPr>
        <w:t>3</w:t>
      </w:r>
      <w:r w:rsidRPr="00DB02CC">
        <w:rPr>
          <w:sz w:val="28"/>
          <w:szCs w:val="28"/>
        </w:rPr>
        <w:t xml:space="preserve"> г.</w:t>
      </w:r>
      <w:r w:rsidR="00D10350">
        <w:rPr>
          <w:sz w:val="28"/>
          <w:szCs w:val="28"/>
        </w:rPr>
        <w:t xml:space="preserve"> – 5,</w:t>
      </w:r>
      <w:r w:rsidR="003749F7">
        <w:rPr>
          <w:sz w:val="28"/>
          <w:szCs w:val="28"/>
        </w:rPr>
        <w:t>3</w:t>
      </w:r>
      <w:r w:rsidR="00D10350">
        <w:rPr>
          <w:sz w:val="28"/>
          <w:szCs w:val="28"/>
        </w:rPr>
        <w:t xml:space="preserve"> %, что</w:t>
      </w:r>
      <w:r w:rsidRPr="00DB02CC">
        <w:rPr>
          <w:sz w:val="28"/>
          <w:szCs w:val="28"/>
        </w:rPr>
        <w:t xml:space="preserve"> соответствует п. 3 ст. 184.1 Бюджетного кодекса РФ (не менее </w:t>
      </w:r>
      <w:r w:rsidRPr="00D10350">
        <w:rPr>
          <w:sz w:val="28"/>
          <w:szCs w:val="28"/>
        </w:rPr>
        <w:t>2,5 %</w:t>
      </w:r>
      <w:r w:rsidRPr="00DB02CC">
        <w:rPr>
          <w:sz w:val="28"/>
          <w:szCs w:val="28"/>
        </w:rPr>
        <w:t xml:space="preserve"> на первый год планового периода и не менее </w:t>
      </w:r>
      <w:r w:rsidRPr="00D10350">
        <w:rPr>
          <w:sz w:val="28"/>
          <w:szCs w:val="28"/>
        </w:rPr>
        <w:t>5%</w:t>
      </w:r>
      <w:r w:rsidRPr="00DB02CC">
        <w:rPr>
          <w:sz w:val="28"/>
          <w:szCs w:val="28"/>
        </w:rPr>
        <w:t xml:space="preserve"> на второй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End"/>
    </w:p>
    <w:p w:rsidR="00CC73CC" w:rsidRPr="00CE13C7" w:rsidRDefault="00CC73CC" w:rsidP="00651789">
      <w:pPr>
        <w:tabs>
          <w:tab w:val="left" w:pos="616"/>
          <w:tab w:val="left" w:pos="841"/>
          <w:tab w:val="left" w:pos="1000"/>
        </w:tabs>
        <w:autoSpaceDE w:val="0"/>
        <w:autoSpaceDN w:val="0"/>
        <w:adjustRightInd w:val="0"/>
        <w:spacing w:line="360" w:lineRule="exact"/>
        <w:jc w:val="both"/>
        <w:outlineLvl w:val="1"/>
        <w:rPr>
          <w:sz w:val="28"/>
          <w:szCs w:val="28"/>
        </w:rPr>
      </w:pPr>
      <w:r w:rsidRPr="00CE13C7">
        <w:rPr>
          <w:sz w:val="28"/>
          <w:szCs w:val="28"/>
        </w:rPr>
        <w:tab/>
        <w:t xml:space="preserve">Проектом предусмотрен объем бюджетных ассигнований на исполнение публичных нормативных обязательств, что соответствует п. 3 ст. 184.1 Бюджетного кодекса РФ. </w:t>
      </w:r>
    </w:p>
    <w:p w:rsidR="00176793" w:rsidRPr="000C3ADA" w:rsidRDefault="000C3ADA" w:rsidP="003C72B7">
      <w:pPr>
        <w:tabs>
          <w:tab w:val="left" w:pos="616"/>
          <w:tab w:val="left" w:pos="841"/>
          <w:tab w:val="left" w:pos="1000"/>
        </w:tabs>
        <w:autoSpaceDE w:val="0"/>
        <w:autoSpaceDN w:val="0"/>
        <w:adjustRightInd w:val="0"/>
        <w:spacing w:line="360" w:lineRule="exact"/>
        <w:jc w:val="both"/>
        <w:outlineLvl w:val="1"/>
        <w:rPr>
          <w:sz w:val="28"/>
          <w:szCs w:val="28"/>
          <w:u w:val="single"/>
        </w:rPr>
      </w:pPr>
      <w:r>
        <w:rPr>
          <w:sz w:val="28"/>
          <w:szCs w:val="28"/>
        </w:rPr>
        <w:tab/>
      </w:r>
      <w:r w:rsidR="00176793" w:rsidRPr="000C3ADA">
        <w:rPr>
          <w:sz w:val="28"/>
          <w:szCs w:val="28"/>
          <w:u w:val="single"/>
        </w:rPr>
        <w:t>При анализе текстовой части установлено следующее:</w:t>
      </w:r>
    </w:p>
    <w:p w:rsidR="00176793" w:rsidRDefault="000C3ADA" w:rsidP="003C72B7">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t>Д</w:t>
      </w:r>
      <w:r w:rsidR="00176793" w:rsidRPr="00176793">
        <w:rPr>
          <w:sz w:val="28"/>
          <w:szCs w:val="28"/>
        </w:rPr>
        <w:t xml:space="preserve">ополнительные основания </w:t>
      </w:r>
      <w:proofErr w:type="gramStart"/>
      <w:r w:rsidR="00176793" w:rsidRPr="00176793">
        <w:rPr>
          <w:sz w:val="28"/>
          <w:szCs w:val="28"/>
        </w:rPr>
        <w:t>для внесения изменений в сводную бюджетную роспись без внесения изменений в решение о бюджете</w:t>
      </w:r>
      <w:proofErr w:type="gramEnd"/>
      <w:r w:rsidR="00176793" w:rsidRPr="00176793">
        <w:rPr>
          <w:sz w:val="28"/>
          <w:szCs w:val="28"/>
        </w:rPr>
        <w:t xml:space="preserve"> в соответствии с решениями </w:t>
      </w:r>
      <w:r w:rsidR="00176793" w:rsidRPr="00176793">
        <w:rPr>
          <w:sz w:val="28"/>
          <w:szCs w:val="28"/>
        </w:rPr>
        <w:lastRenderedPageBreak/>
        <w:t>начальника финансового управления администрации города могут предусматриваться в решении о бюджете в соответствии п. 8 ст. 217 Бюджетного Кодекса РФ и ст. 22 Положения о бюджетном процессе СГО</w:t>
      </w:r>
      <w:r>
        <w:rPr>
          <w:sz w:val="28"/>
          <w:szCs w:val="28"/>
        </w:rPr>
        <w:t>.</w:t>
      </w:r>
    </w:p>
    <w:p w:rsidR="000C3ADA" w:rsidRPr="00F12612" w:rsidRDefault="000C3ADA" w:rsidP="003C72B7">
      <w:pPr>
        <w:tabs>
          <w:tab w:val="left" w:pos="616"/>
          <w:tab w:val="left" w:pos="841"/>
          <w:tab w:val="left" w:pos="1000"/>
        </w:tabs>
        <w:autoSpaceDE w:val="0"/>
        <w:autoSpaceDN w:val="0"/>
        <w:adjustRightInd w:val="0"/>
        <w:spacing w:line="360" w:lineRule="exact"/>
        <w:jc w:val="both"/>
        <w:outlineLvl w:val="1"/>
        <w:rPr>
          <w:bCs/>
          <w:sz w:val="28"/>
          <w:szCs w:val="28"/>
        </w:rPr>
      </w:pPr>
      <w:r>
        <w:rPr>
          <w:sz w:val="28"/>
          <w:szCs w:val="28"/>
        </w:rPr>
        <w:tab/>
        <w:t xml:space="preserve">В текстовой части проекта решения о бюджете СГО на 2021 год </w:t>
      </w:r>
      <w:r w:rsidRPr="000C3ADA">
        <w:rPr>
          <w:bCs/>
          <w:sz w:val="28"/>
          <w:szCs w:val="28"/>
        </w:rPr>
        <w:t xml:space="preserve">и на плановый </w:t>
      </w:r>
      <w:r w:rsidRPr="00F12612">
        <w:rPr>
          <w:bCs/>
          <w:sz w:val="28"/>
          <w:szCs w:val="28"/>
        </w:rPr>
        <w:t>период  2022 и 2023  годов предусматривается следующее дополнительное основание:</w:t>
      </w:r>
    </w:p>
    <w:p w:rsidR="00F12612" w:rsidRPr="00F12612" w:rsidRDefault="000C3ADA" w:rsidP="003C72B7">
      <w:pPr>
        <w:pStyle w:val="a5"/>
        <w:numPr>
          <w:ilvl w:val="0"/>
          <w:numId w:val="9"/>
        </w:numPr>
        <w:tabs>
          <w:tab w:val="left" w:pos="616"/>
          <w:tab w:val="left" w:pos="841"/>
          <w:tab w:val="left" w:pos="1000"/>
        </w:tabs>
        <w:autoSpaceDE w:val="0"/>
        <w:autoSpaceDN w:val="0"/>
        <w:adjustRightInd w:val="0"/>
        <w:spacing w:line="360" w:lineRule="exact"/>
        <w:ind w:left="0" w:firstLine="360"/>
        <w:jc w:val="both"/>
        <w:outlineLvl w:val="1"/>
        <w:rPr>
          <w:sz w:val="28"/>
          <w:szCs w:val="28"/>
        </w:rPr>
      </w:pPr>
      <w:r w:rsidRPr="00F12612">
        <w:rPr>
          <w:sz w:val="28"/>
          <w:szCs w:val="28"/>
        </w:rPr>
        <w:t xml:space="preserve"> </w:t>
      </w:r>
      <w:r w:rsidR="00F12612" w:rsidRPr="00F12612">
        <w:rPr>
          <w:sz w:val="28"/>
          <w:szCs w:val="28"/>
        </w:rPr>
        <w:t xml:space="preserve">при перераспределении бюджетных ассигнований в текущем финансовом году и (или) в плановом периоде, в том числе за счет условно утвержденных расходов; </w:t>
      </w:r>
      <w:proofErr w:type="gramStart"/>
      <w:r w:rsidR="00F12612" w:rsidRPr="00F12612">
        <w:rPr>
          <w:sz w:val="28"/>
          <w:szCs w:val="28"/>
        </w:rPr>
        <w:t>а также между текущим финансовым годом и плановым периодом, без изменения размеров дефицита бюджета в соответствующем  финансовом году, без внесения изменений в решение Думы Соликамского городского округа о бюджете Соликамского городского округа на 2021 год и плановый период 2022 и 2023 годов - на основании постановлений администрации Соликамского городского округа, решений экспертного Совета, согласительной или иной комиссии, созданных при администрации Соликамского</w:t>
      </w:r>
      <w:proofErr w:type="gramEnd"/>
      <w:r w:rsidR="00F12612" w:rsidRPr="00F12612">
        <w:rPr>
          <w:sz w:val="28"/>
          <w:szCs w:val="28"/>
        </w:rPr>
        <w:t xml:space="preserve"> городского округа и уполномоченных на принятие решений по соответствующим направлениям деятельности, в случае:</w:t>
      </w:r>
    </w:p>
    <w:p w:rsidR="000C3ADA" w:rsidRPr="006D094D" w:rsidRDefault="00F12612" w:rsidP="003C72B7">
      <w:pPr>
        <w:pStyle w:val="a5"/>
        <w:numPr>
          <w:ilvl w:val="0"/>
          <w:numId w:val="26"/>
        </w:numPr>
        <w:tabs>
          <w:tab w:val="left" w:pos="616"/>
          <w:tab w:val="left" w:pos="841"/>
          <w:tab w:val="left" w:pos="1000"/>
        </w:tabs>
        <w:autoSpaceDE w:val="0"/>
        <w:autoSpaceDN w:val="0"/>
        <w:adjustRightInd w:val="0"/>
        <w:spacing w:line="360" w:lineRule="exact"/>
        <w:ind w:left="567" w:hanging="207"/>
        <w:jc w:val="both"/>
        <w:outlineLvl w:val="1"/>
        <w:rPr>
          <w:sz w:val="28"/>
          <w:szCs w:val="28"/>
        </w:rPr>
      </w:pPr>
      <w:r w:rsidRPr="006D094D">
        <w:rPr>
          <w:sz w:val="28"/>
          <w:szCs w:val="28"/>
        </w:rPr>
        <w:t xml:space="preserve">финансового обеспечения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D094D">
        <w:rPr>
          <w:sz w:val="28"/>
          <w:szCs w:val="28"/>
        </w:rPr>
        <w:t>коронавирусной</w:t>
      </w:r>
      <w:proofErr w:type="spellEnd"/>
      <w:r w:rsidRPr="006D094D">
        <w:rPr>
          <w:sz w:val="28"/>
          <w:szCs w:val="28"/>
        </w:rPr>
        <w:t xml:space="preserve"> инфекции, а также на иные цели, определенные администрацией Соликамского городского округа</w:t>
      </w:r>
      <w:r w:rsidR="004C1CD2">
        <w:rPr>
          <w:sz w:val="28"/>
          <w:szCs w:val="28"/>
        </w:rPr>
        <w:t>.</w:t>
      </w:r>
    </w:p>
    <w:p w:rsidR="00176793" w:rsidRPr="00176793" w:rsidRDefault="006D094D" w:rsidP="003C72B7">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t xml:space="preserve">Следует отметить, что </w:t>
      </w:r>
      <w:r w:rsidR="00176793" w:rsidRPr="00D51A77">
        <w:rPr>
          <w:b/>
          <w:i/>
          <w:sz w:val="28"/>
          <w:szCs w:val="28"/>
        </w:rPr>
        <w:t>на период 2020 года</w:t>
      </w:r>
      <w:r w:rsidR="00176793" w:rsidRPr="00176793">
        <w:rPr>
          <w:sz w:val="28"/>
          <w:szCs w:val="28"/>
        </w:rPr>
        <w:t xml:space="preserve"> действ</w:t>
      </w:r>
      <w:r w:rsidR="000F4A2A">
        <w:rPr>
          <w:sz w:val="28"/>
          <w:szCs w:val="28"/>
        </w:rPr>
        <w:t>уют</w:t>
      </w:r>
      <w:r w:rsidR="00176793" w:rsidRPr="00176793">
        <w:rPr>
          <w:sz w:val="28"/>
          <w:szCs w:val="28"/>
        </w:rPr>
        <w:t xml:space="preserve"> нормы Федерального закона от 01.04.2020 г. № 103-ФЗ</w:t>
      </w:r>
      <w:r w:rsidR="004C1CD2">
        <w:rPr>
          <w:sz w:val="28"/>
          <w:szCs w:val="28"/>
        </w:rPr>
        <w:t>.</w:t>
      </w:r>
      <w:r w:rsidR="00176793" w:rsidRPr="00176793">
        <w:rPr>
          <w:sz w:val="28"/>
          <w:szCs w:val="28"/>
        </w:rPr>
        <w:t xml:space="preserve"> </w:t>
      </w:r>
      <w:r w:rsidR="004C1CD2">
        <w:rPr>
          <w:sz w:val="28"/>
          <w:szCs w:val="28"/>
        </w:rPr>
        <w:t>Указанным законом</w:t>
      </w:r>
      <w:r w:rsidR="00176793" w:rsidRPr="00176793">
        <w:rPr>
          <w:sz w:val="28"/>
          <w:szCs w:val="28"/>
        </w:rPr>
        <w:t xml:space="preserve"> внесены изменения в Федеральный закон от 12.11.2019 г. № 367-ФЗ «О приостановлении действия отдельных положений Бюджетного кодекса Российской Федерации и установлении </w:t>
      </w:r>
      <w:proofErr w:type="gramStart"/>
      <w:r w:rsidR="00176793" w:rsidRPr="00176793">
        <w:rPr>
          <w:sz w:val="28"/>
          <w:szCs w:val="28"/>
        </w:rPr>
        <w:t>особенностей исполнения бюджетов бюджетной системы Российской Федерации</w:t>
      </w:r>
      <w:proofErr w:type="gramEnd"/>
      <w:r w:rsidR="00176793" w:rsidRPr="00176793">
        <w:rPr>
          <w:sz w:val="28"/>
          <w:szCs w:val="28"/>
        </w:rPr>
        <w:t xml:space="preserve"> в 2020 году". </w:t>
      </w:r>
    </w:p>
    <w:p w:rsidR="0052373C" w:rsidRDefault="00176793" w:rsidP="003C72B7">
      <w:pPr>
        <w:tabs>
          <w:tab w:val="left" w:pos="616"/>
          <w:tab w:val="left" w:pos="841"/>
          <w:tab w:val="left" w:pos="1000"/>
        </w:tabs>
        <w:autoSpaceDE w:val="0"/>
        <w:autoSpaceDN w:val="0"/>
        <w:adjustRightInd w:val="0"/>
        <w:spacing w:line="360" w:lineRule="exact"/>
        <w:jc w:val="both"/>
        <w:outlineLvl w:val="1"/>
        <w:rPr>
          <w:sz w:val="28"/>
          <w:szCs w:val="28"/>
        </w:rPr>
      </w:pPr>
      <w:r w:rsidRPr="00176793">
        <w:rPr>
          <w:sz w:val="28"/>
          <w:szCs w:val="28"/>
        </w:rPr>
        <w:tab/>
        <w:t xml:space="preserve">В частности,  предусмотрены особенности организации бюджетного процесса в 2020 году: установлено снятие ограничений в случае перераспределения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176793">
        <w:rPr>
          <w:sz w:val="28"/>
          <w:szCs w:val="28"/>
        </w:rPr>
        <w:t>коронавирусной</w:t>
      </w:r>
      <w:proofErr w:type="spellEnd"/>
      <w:r w:rsidRPr="00176793">
        <w:rPr>
          <w:sz w:val="28"/>
          <w:szCs w:val="28"/>
        </w:rPr>
        <w:t xml:space="preserve"> инфекции, а также на иные цели, определенные местной администрацией. </w:t>
      </w:r>
    </w:p>
    <w:p w:rsidR="00176793" w:rsidRPr="00176793" w:rsidRDefault="0052373C" w:rsidP="003C72B7">
      <w:pPr>
        <w:tabs>
          <w:tab w:val="left" w:pos="616"/>
          <w:tab w:val="left" w:pos="841"/>
          <w:tab w:val="left" w:pos="1000"/>
        </w:tabs>
        <w:autoSpaceDE w:val="0"/>
        <w:autoSpaceDN w:val="0"/>
        <w:adjustRightInd w:val="0"/>
        <w:spacing w:line="360" w:lineRule="exact"/>
        <w:jc w:val="both"/>
        <w:outlineLvl w:val="1"/>
        <w:rPr>
          <w:i/>
          <w:sz w:val="28"/>
          <w:szCs w:val="28"/>
        </w:rPr>
      </w:pPr>
      <w:r>
        <w:rPr>
          <w:sz w:val="28"/>
          <w:szCs w:val="28"/>
        </w:rPr>
        <w:tab/>
      </w:r>
      <w:r w:rsidR="00176793" w:rsidRPr="00176793">
        <w:rPr>
          <w:i/>
          <w:sz w:val="28"/>
          <w:szCs w:val="28"/>
        </w:rPr>
        <w:t xml:space="preserve">В 2020 году данная норма могла применяться без принятия муниципального  нормативно-правового акта. </w:t>
      </w:r>
    </w:p>
    <w:p w:rsidR="005859BA" w:rsidRDefault="0052373C" w:rsidP="003C72B7">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r>
      <w:proofErr w:type="gramStart"/>
      <w:r w:rsidR="00176793" w:rsidRPr="00176793">
        <w:rPr>
          <w:sz w:val="28"/>
          <w:szCs w:val="28"/>
        </w:rPr>
        <w:t xml:space="preserve">В 2021 году,  для реализации </w:t>
      </w:r>
      <w:r w:rsidR="005859BA">
        <w:rPr>
          <w:sz w:val="28"/>
          <w:szCs w:val="28"/>
        </w:rPr>
        <w:t>вышеуказанной</w:t>
      </w:r>
      <w:r w:rsidR="00176793" w:rsidRPr="00176793">
        <w:rPr>
          <w:sz w:val="28"/>
          <w:szCs w:val="28"/>
        </w:rPr>
        <w:t xml:space="preserve"> нормы, необходимо разработать и утвердить муниципальный правовой акт «Об утверждении правил внесения изменений в 2021 году в сводную бюджетную роспись в случае перераспределения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w:t>
      </w:r>
      <w:r w:rsidR="00176793" w:rsidRPr="00176793">
        <w:rPr>
          <w:sz w:val="28"/>
          <w:szCs w:val="28"/>
        </w:rPr>
        <w:lastRenderedPageBreak/>
        <w:t xml:space="preserve">профилактикой и устранением последствий распространения </w:t>
      </w:r>
      <w:proofErr w:type="spellStart"/>
      <w:r w:rsidR="00176793" w:rsidRPr="00176793">
        <w:rPr>
          <w:sz w:val="28"/>
          <w:szCs w:val="28"/>
        </w:rPr>
        <w:t>коронавирусной</w:t>
      </w:r>
      <w:proofErr w:type="spellEnd"/>
      <w:r w:rsidR="00176793" w:rsidRPr="00176793">
        <w:rPr>
          <w:sz w:val="28"/>
          <w:szCs w:val="28"/>
        </w:rPr>
        <w:t xml:space="preserve"> инфекции, а также на иные цели, определенные</w:t>
      </w:r>
      <w:proofErr w:type="gramEnd"/>
      <w:r w:rsidR="00176793" w:rsidRPr="00176793">
        <w:rPr>
          <w:sz w:val="28"/>
          <w:szCs w:val="28"/>
        </w:rPr>
        <w:t xml:space="preserve"> администрацией Соликамского городского округа». </w:t>
      </w:r>
    </w:p>
    <w:p w:rsidR="00176793" w:rsidRPr="00176793" w:rsidRDefault="005859BA" w:rsidP="003C72B7">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r>
      <w:r w:rsidR="00176793" w:rsidRPr="00176793">
        <w:rPr>
          <w:sz w:val="28"/>
          <w:szCs w:val="28"/>
        </w:rPr>
        <w:t>На момент проверки такой документ не утвержден.</w:t>
      </w:r>
    </w:p>
    <w:p w:rsidR="00F12612" w:rsidRDefault="00176793" w:rsidP="003C72B7">
      <w:pPr>
        <w:tabs>
          <w:tab w:val="left" w:pos="616"/>
          <w:tab w:val="left" w:pos="841"/>
          <w:tab w:val="left" w:pos="1000"/>
        </w:tabs>
        <w:autoSpaceDE w:val="0"/>
        <w:autoSpaceDN w:val="0"/>
        <w:adjustRightInd w:val="0"/>
        <w:spacing w:line="360" w:lineRule="exact"/>
        <w:jc w:val="both"/>
        <w:outlineLvl w:val="1"/>
        <w:rPr>
          <w:sz w:val="28"/>
          <w:szCs w:val="28"/>
        </w:rPr>
      </w:pPr>
      <w:r w:rsidRPr="00176793">
        <w:rPr>
          <w:sz w:val="28"/>
          <w:szCs w:val="28"/>
        </w:rPr>
        <w:tab/>
      </w:r>
      <w:r w:rsidR="00EC5B0D">
        <w:rPr>
          <w:sz w:val="28"/>
          <w:szCs w:val="28"/>
        </w:rPr>
        <w:t>При отсутствии Порядка</w:t>
      </w:r>
      <w:r w:rsidRPr="00176793">
        <w:rPr>
          <w:sz w:val="28"/>
          <w:szCs w:val="28"/>
        </w:rPr>
        <w:t>, по нашему мнению, предлагаемая формулировка «на иные цели, определенные администрацией Соликамского городского округа»</w:t>
      </w:r>
      <w:r w:rsidR="00046BC8">
        <w:rPr>
          <w:sz w:val="28"/>
          <w:szCs w:val="28"/>
        </w:rPr>
        <w:t xml:space="preserve"> –</w:t>
      </w:r>
      <w:r w:rsidRPr="00176793">
        <w:rPr>
          <w:sz w:val="28"/>
          <w:szCs w:val="28"/>
        </w:rPr>
        <w:t xml:space="preserve"> обозначает,</w:t>
      </w:r>
      <w:r w:rsidR="00046BC8">
        <w:rPr>
          <w:sz w:val="28"/>
          <w:szCs w:val="28"/>
        </w:rPr>
        <w:t xml:space="preserve"> </w:t>
      </w:r>
      <w:r w:rsidRPr="00176793">
        <w:rPr>
          <w:sz w:val="28"/>
          <w:szCs w:val="28"/>
        </w:rPr>
        <w:t>что администрация СГО самостоятельно, без решения Думы СГО может направлять средства местного бюджета на любые цели. Считаем, что при этом снимаются все ограничения  при перераспределении средств бюджета СГО.  Предлагаем   исключить  указанную формулировку из текстовой части проекта решения либо разработать  порядок  администрации СГО.</w:t>
      </w:r>
    </w:p>
    <w:p w:rsidR="00CC73CC" w:rsidRPr="00404012" w:rsidRDefault="00B67746" w:rsidP="003C72B7">
      <w:pPr>
        <w:tabs>
          <w:tab w:val="left" w:pos="616"/>
          <w:tab w:val="left" w:pos="841"/>
          <w:tab w:val="left" w:pos="1000"/>
        </w:tabs>
        <w:autoSpaceDE w:val="0"/>
        <w:autoSpaceDN w:val="0"/>
        <w:adjustRightInd w:val="0"/>
        <w:spacing w:line="360" w:lineRule="exact"/>
        <w:jc w:val="both"/>
        <w:outlineLvl w:val="1"/>
        <w:rPr>
          <w:b/>
          <w:i/>
          <w:sz w:val="28"/>
          <w:szCs w:val="28"/>
        </w:rPr>
      </w:pPr>
      <w:r>
        <w:rPr>
          <w:sz w:val="28"/>
          <w:szCs w:val="28"/>
        </w:rPr>
        <w:tab/>
      </w:r>
      <w:r w:rsidR="00CC73CC" w:rsidRPr="000C5CFC">
        <w:rPr>
          <w:b/>
          <w:i/>
          <w:sz w:val="28"/>
          <w:szCs w:val="28"/>
          <w:u w:val="single"/>
        </w:rPr>
        <w:t>Вывод:</w:t>
      </w:r>
      <w:r w:rsidR="000C5CFC">
        <w:rPr>
          <w:sz w:val="28"/>
          <w:szCs w:val="28"/>
        </w:rPr>
        <w:t xml:space="preserve"> Пункт 24.9 </w:t>
      </w:r>
      <w:r w:rsidR="00CC73CC" w:rsidRPr="000C5CFC">
        <w:rPr>
          <w:sz w:val="28"/>
          <w:szCs w:val="28"/>
        </w:rPr>
        <w:t xml:space="preserve">текстовой части проекта решения </w:t>
      </w:r>
      <w:r w:rsidR="00B01444" w:rsidRPr="000C5CFC">
        <w:rPr>
          <w:sz w:val="28"/>
          <w:szCs w:val="28"/>
        </w:rPr>
        <w:t>доработать с учетом вышеперечисленных замечаний</w:t>
      </w:r>
      <w:r w:rsidR="00CC73CC" w:rsidRPr="000C5CFC">
        <w:rPr>
          <w:sz w:val="28"/>
          <w:szCs w:val="28"/>
        </w:rPr>
        <w:t>.</w:t>
      </w:r>
    </w:p>
    <w:p w:rsidR="00CC73CC" w:rsidRPr="00CC73CC" w:rsidRDefault="00CC73CC" w:rsidP="00651789">
      <w:pPr>
        <w:spacing w:line="360" w:lineRule="exact"/>
        <w:ind w:firstLine="709"/>
        <w:jc w:val="both"/>
        <w:outlineLvl w:val="0"/>
        <w:rPr>
          <w:sz w:val="28"/>
          <w:szCs w:val="28"/>
        </w:rPr>
      </w:pPr>
    </w:p>
    <w:p w:rsidR="004D39C9" w:rsidRDefault="004D39C9" w:rsidP="00651789">
      <w:pPr>
        <w:tabs>
          <w:tab w:val="left" w:pos="616"/>
          <w:tab w:val="left" w:pos="841"/>
          <w:tab w:val="left" w:pos="1000"/>
        </w:tabs>
        <w:autoSpaceDE w:val="0"/>
        <w:autoSpaceDN w:val="0"/>
        <w:adjustRightInd w:val="0"/>
        <w:spacing w:line="360" w:lineRule="exact"/>
        <w:jc w:val="both"/>
        <w:outlineLvl w:val="1"/>
        <w:rPr>
          <w:b/>
          <w:i/>
          <w:sz w:val="28"/>
          <w:szCs w:val="28"/>
        </w:rPr>
      </w:pPr>
      <w:r w:rsidRPr="00B22505">
        <w:rPr>
          <w:b/>
          <w:i/>
          <w:sz w:val="28"/>
          <w:szCs w:val="28"/>
        </w:rPr>
        <w:t>6.</w:t>
      </w:r>
      <w:r>
        <w:rPr>
          <w:b/>
          <w:i/>
          <w:sz w:val="28"/>
          <w:szCs w:val="28"/>
        </w:rPr>
        <w:t xml:space="preserve"> Экспертиза реестра расходных обязательств Соликамского городского округа</w:t>
      </w:r>
    </w:p>
    <w:p w:rsidR="00B22505" w:rsidRDefault="00B22505" w:rsidP="00651789">
      <w:pPr>
        <w:tabs>
          <w:tab w:val="left" w:pos="616"/>
          <w:tab w:val="left" w:pos="841"/>
          <w:tab w:val="left" w:pos="1000"/>
        </w:tabs>
        <w:autoSpaceDE w:val="0"/>
        <w:autoSpaceDN w:val="0"/>
        <w:adjustRightInd w:val="0"/>
        <w:spacing w:line="360" w:lineRule="exact"/>
        <w:jc w:val="both"/>
        <w:outlineLvl w:val="1"/>
        <w:rPr>
          <w:sz w:val="28"/>
          <w:szCs w:val="20"/>
        </w:rPr>
      </w:pPr>
      <w:r>
        <w:rPr>
          <w:rFonts w:eastAsia="Calibri"/>
          <w:sz w:val="28"/>
          <w:szCs w:val="28"/>
          <w:lang w:eastAsia="en-US"/>
        </w:rPr>
        <w:tab/>
      </w:r>
      <w:r>
        <w:rPr>
          <w:sz w:val="28"/>
          <w:szCs w:val="20"/>
        </w:rPr>
        <w:t xml:space="preserve"> </w:t>
      </w:r>
      <w:r w:rsidRPr="00B22505">
        <w:rPr>
          <w:sz w:val="28"/>
          <w:szCs w:val="20"/>
        </w:rPr>
        <w:t xml:space="preserve">Под </w:t>
      </w:r>
      <w:r w:rsidR="006D5B5A">
        <w:rPr>
          <w:sz w:val="28"/>
          <w:szCs w:val="20"/>
        </w:rPr>
        <w:t xml:space="preserve">реестром расходных обязательств (далее – </w:t>
      </w:r>
      <w:r>
        <w:rPr>
          <w:sz w:val="28"/>
          <w:szCs w:val="20"/>
        </w:rPr>
        <w:t>РРО</w:t>
      </w:r>
      <w:r w:rsidR="006D5B5A">
        <w:rPr>
          <w:sz w:val="28"/>
          <w:szCs w:val="20"/>
        </w:rPr>
        <w:t>)</w:t>
      </w:r>
      <w:r w:rsidRPr="00B22505">
        <w:rPr>
          <w:sz w:val="28"/>
          <w:szCs w:val="20"/>
        </w:rPr>
        <w:t xml:space="preserve"> понимается используемый при составлении проекта бюджета свод законов, иных нормативных правовых актов, муниципальных правовых актов, обусловливающих публичные нормативные обязательства и правовые основания для иных расходных обязательств</w:t>
      </w:r>
      <w:r>
        <w:rPr>
          <w:sz w:val="28"/>
          <w:szCs w:val="20"/>
        </w:rPr>
        <w:t xml:space="preserve"> </w:t>
      </w:r>
      <w:r w:rsidRPr="00B22505">
        <w:rPr>
          <w:sz w:val="28"/>
          <w:szCs w:val="20"/>
        </w:rPr>
        <w:t>с оценкой объемов бюджетных ассигнований, необходимых для исполнения</w:t>
      </w:r>
      <w:r>
        <w:rPr>
          <w:sz w:val="28"/>
          <w:szCs w:val="20"/>
        </w:rPr>
        <w:t>.</w:t>
      </w:r>
    </w:p>
    <w:p w:rsidR="00FB59A7" w:rsidRDefault="006045A9" w:rsidP="00651789">
      <w:pPr>
        <w:widowControl w:val="0"/>
        <w:autoSpaceDE w:val="0"/>
        <w:autoSpaceDN w:val="0"/>
        <w:spacing w:line="360" w:lineRule="exact"/>
        <w:ind w:firstLine="540"/>
        <w:jc w:val="both"/>
        <w:rPr>
          <w:sz w:val="28"/>
          <w:szCs w:val="28"/>
        </w:rPr>
      </w:pPr>
      <w:r>
        <w:rPr>
          <w:sz w:val="28"/>
          <w:szCs w:val="28"/>
        </w:rPr>
        <w:t xml:space="preserve">В соответствии </w:t>
      </w:r>
      <w:r w:rsidRPr="00E635A5">
        <w:rPr>
          <w:sz w:val="28"/>
          <w:szCs w:val="28"/>
        </w:rPr>
        <w:t>ч. 5 ст. 87 Бюджетного кодекса РФ</w:t>
      </w:r>
      <w:r>
        <w:rPr>
          <w:sz w:val="28"/>
          <w:szCs w:val="28"/>
        </w:rPr>
        <w:t xml:space="preserve"> р</w:t>
      </w:r>
      <w:r w:rsidRPr="00E635A5">
        <w:rPr>
          <w:sz w:val="28"/>
          <w:szCs w:val="28"/>
        </w:rPr>
        <w:t>еестр расходных обязательств муниципального образования ведется в порядке, установленном местной администрацией муниципального образования.</w:t>
      </w:r>
      <w:r>
        <w:rPr>
          <w:sz w:val="28"/>
          <w:szCs w:val="28"/>
        </w:rPr>
        <w:t xml:space="preserve"> Такой порядок утвержден</w:t>
      </w:r>
      <w:r w:rsidRPr="00E635A5">
        <w:rPr>
          <w:sz w:val="28"/>
          <w:szCs w:val="28"/>
        </w:rPr>
        <w:t xml:space="preserve"> постановлением администрации г. Соликамска от </w:t>
      </w:r>
      <w:r>
        <w:rPr>
          <w:sz w:val="28"/>
          <w:szCs w:val="28"/>
        </w:rPr>
        <w:t>31</w:t>
      </w:r>
      <w:r w:rsidRPr="00E635A5">
        <w:rPr>
          <w:sz w:val="28"/>
          <w:szCs w:val="28"/>
        </w:rPr>
        <w:t>.10.201</w:t>
      </w:r>
      <w:r>
        <w:rPr>
          <w:sz w:val="28"/>
          <w:szCs w:val="28"/>
        </w:rPr>
        <w:t>6</w:t>
      </w:r>
      <w:r w:rsidRPr="00E635A5">
        <w:rPr>
          <w:sz w:val="28"/>
          <w:szCs w:val="28"/>
        </w:rPr>
        <w:t xml:space="preserve"> г. № 1</w:t>
      </w:r>
      <w:r>
        <w:rPr>
          <w:sz w:val="28"/>
          <w:szCs w:val="28"/>
        </w:rPr>
        <w:t>744</w:t>
      </w:r>
      <w:r w:rsidRPr="00E635A5">
        <w:rPr>
          <w:sz w:val="28"/>
          <w:szCs w:val="28"/>
        </w:rPr>
        <w:t>-па «Об утверждении формы и порядка ведения реестра расходных обязательств Соликамского городского округа»</w:t>
      </w:r>
      <w:r>
        <w:rPr>
          <w:sz w:val="28"/>
          <w:szCs w:val="28"/>
        </w:rPr>
        <w:t xml:space="preserve"> (далее – Порядок).</w:t>
      </w:r>
    </w:p>
    <w:p w:rsidR="00FB59A7" w:rsidRPr="00FB59A7" w:rsidRDefault="00FB59A7" w:rsidP="00651789">
      <w:pPr>
        <w:widowControl w:val="0"/>
        <w:autoSpaceDE w:val="0"/>
        <w:autoSpaceDN w:val="0"/>
        <w:spacing w:line="360" w:lineRule="exact"/>
        <w:ind w:firstLine="540"/>
        <w:jc w:val="both"/>
        <w:rPr>
          <w:sz w:val="28"/>
          <w:szCs w:val="28"/>
        </w:rPr>
      </w:pPr>
      <w:proofErr w:type="gramStart"/>
      <w:r>
        <w:rPr>
          <w:sz w:val="28"/>
          <w:szCs w:val="28"/>
        </w:rPr>
        <w:t>Постановлением администрации г. Соликамска от 09.11.2018 г. № 1645-па в Порядок внесены изменения, в соответствии с которыми ф</w:t>
      </w:r>
      <w:r w:rsidRPr="00FB59A7">
        <w:rPr>
          <w:sz w:val="28"/>
          <w:szCs w:val="28"/>
        </w:rPr>
        <w:t>ормирование и ведение главными распорядителями бюджетных</w:t>
      </w:r>
      <w:r>
        <w:rPr>
          <w:sz w:val="28"/>
          <w:szCs w:val="28"/>
        </w:rPr>
        <w:t xml:space="preserve"> </w:t>
      </w:r>
      <w:r w:rsidRPr="00FB59A7">
        <w:rPr>
          <w:sz w:val="28"/>
          <w:szCs w:val="28"/>
        </w:rPr>
        <w:t>средств фрагментов реестра расходных обязательств осуществляется посредством</w:t>
      </w:r>
      <w:r>
        <w:rPr>
          <w:sz w:val="28"/>
          <w:szCs w:val="28"/>
        </w:rPr>
        <w:t xml:space="preserve"> </w:t>
      </w:r>
      <w:r w:rsidRPr="00FB59A7">
        <w:rPr>
          <w:sz w:val="28"/>
          <w:szCs w:val="28"/>
        </w:rPr>
        <w:t>использования программных продуктов (централизованных систем),</w:t>
      </w:r>
      <w:r>
        <w:rPr>
          <w:sz w:val="28"/>
          <w:szCs w:val="28"/>
        </w:rPr>
        <w:t xml:space="preserve"> </w:t>
      </w:r>
      <w:r w:rsidRPr="00FB59A7">
        <w:rPr>
          <w:sz w:val="28"/>
          <w:szCs w:val="28"/>
        </w:rPr>
        <w:t>установленных на базе Министерства финансов Пермского края, по форме,</w:t>
      </w:r>
      <w:r>
        <w:rPr>
          <w:sz w:val="28"/>
          <w:szCs w:val="28"/>
        </w:rPr>
        <w:t xml:space="preserve"> </w:t>
      </w:r>
      <w:r w:rsidRPr="00FB59A7">
        <w:rPr>
          <w:sz w:val="28"/>
          <w:szCs w:val="28"/>
        </w:rPr>
        <w:t>утверждаемой нормативными правовыми актами Российской Федерации и/или</w:t>
      </w:r>
      <w:r>
        <w:rPr>
          <w:sz w:val="28"/>
          <w:szCs w:val="28"/>
        </w:rPr>
        <w:t xml:space="preserve"> </w:t>
      </w:r>
      <w:r w:rsidRPr="00FB59A7">
        <w:rPr>
          <w:sz w:val="28"/>
          <w:szCs w:val="28"/>
        </w:rPr>
        <w:t>приказами Министерства финансов Пермского края»</w:t>
      </w:r>
      <w:r w:rsidR="00D652BF">
        <w:rPr>
          <w:sz w:val="28"/>
          <w:szCs w:val="28"/>
        </w:rPr>
        <w:t>.</w:t>
      </w:r>
      <w:proofErr w:type="gramEnd"/>
    </w:p>
    <w:p w:rsidR="00E635A5" w:rsidRDefault="00B22505" w:rsidP="00651789">
      <w:pPr>
        <w:widowControl w:val="0"/>
        <w:autoSpaceDE w:val="0"/>
        <w:autoSpaceDN w:val="0"/>
        <w:spacing w:line="360" w:lineRule="exact"/>
        <w:ind w:firstLine="540"/>
        <w:jc w:val="both"/>
        <w:rPr>
          <w:sz w:val="28"/>
          <w:szCs w:val="28"/>
        </w:rPr>
      </w:pPr>
      <w:r>
        <w:rPr>
          <w:sz w:val="28"/>
          <w:szCs w:val="20"/>
        </w:rPr>
        <w:t>РРО</w:t>
      </w:r>
      <w:r w:rsidR="00414F7D">
        <w:rPr>
          <w:sz w:val="28"/>
          <w:szCs w:val="20"/>
        </w:rPr>
        <w:t xml:space="preserve"> </w:t>
      </w:r>
      <w:proofErr w:type="gramStart"/>
      <w:r>
        <w:rPr>
          <w:sz w:val="28"/>
          <w:szCs w:val="20"/>
        </w:rPr>
        <w:t>сформирован</w:t>
      </w:r>
      <w:proofErr w:type="gramEnd"/>
      <w:r>
        <w:rPr>
          <w:sz w:val="28"/>
          <w:szCs w:val="20"/>
        </w:rPr>
        <w:t xml:space="preserve"> </w:t>
      </w:r>
      <w:r w:rsidR="00D05C4C">
        <w:rPr>
          <w:sz w:val="28"/>
          <w:szCs w:val="20"/>
        </w:rPr>
        <w:t xml:space="preserve">в </w:t>
      </w:r>
      <w:r w:rsidR="006045A9">
        <w:rPr>
          <w:sz w:val="28"/>
          <w:szCs w:val="20"/>
        </w:rPr>
        <w:t>соответствии с П</w:t>
      </w:r>
      <w:r w:rsidR="00D05C4C">
        <w:rPr>
          <w:sz w:val="28"/>
          <w:szCs w:val="20"/>
        </w:rPr>
        <w:t>орядк</w:t>
      </w:r>
      <w:r w:rsidR="006045A9">
        <w:rPr>
          <w:sz w:val="28"/>
          <w:szCs w:val="20"/>
        </w:rPr>
        <w:t>ом.</w:t>
      </w:r>
      <w:r w:rsidR="00D05C4C">
        <w:rPr>
          <w:sz w:val="28"/>
          <w:szCs w:val="20"/>
        </w:rPr>
        <w:t xml:space="preserve"> </w:t>
      </w:r>
    </w:p>
    <w:p w:rsidR="006045A9" w:rsidRDefault="00B3579E" w:rsidP="00651789">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r>
      <w:r w:rsidR="006045A9">
        <w:rPr>
          <w:sz w:val="28"/>
          <w:szCs w:val="28"/>
        </w:rPr>
        <w:t>РРО</w:t>
      </w:r>
      <w:r w:rsidR="00BC6C72">
        <w:rPr>
          <w:sz w:val="28"/>
          <w:szCs w:val="28"/>
        </w:rPr>
        <w:t xml:space="preserve"> составлен по </w:t>
      </w:r>
      <w:r w:rsidR="00F817EB">
        <w:rPr>
          <w:sz w:val="28"/>
          <w:szCs w:val="28"/>
        </w:rPr>
        <w:t xml:space="preserve">бюджетным </w:t>
      </w:r>
      <w:r w:rsidR="00D652BF">
        <w:rPr>
          <w:sz w:val="28"/>
          <w:szCs w:val="28"/>
        </w:rPr>
        <w:t xml:space="preserve">ассигнованиям </w:t>
      </w:r>
      <w:r w:rsidR="00F817EB">
        <w:rPr>
          <w:sz w:val="28"/>
          <w:szCs w:val="28"/>
        </w:rPr>
        <w:t xml:space="preserve">по </w:t>
      </w:r>
      <w:r w:rsidR="00BC6C72">
        <w:rPr>
          <w:sz w:val="28"/>
          <w:szCs w:val="28"/>
        </w:rPr>
        <w:t xml:space="preserve">состоянию на </w:t>
      </w:r>
      <w:r w:rsidR="00BC6C72" w:rsidRPr="00F817EB">
        <w:rPr>
          <w:sz w:val="28"/>
          <w:szCs w:val="28"/>
        </w:rPr>
        <w:t>01.0</w:t>
      </w:r>
      <w:r>
        <w:rPr>
          <w:sz w:val="28"/>
          <w:szCs w:val="28"/>
        </w:rPr>
        <w:t>6</w:t>
      </w:r>
      <w:r w:rsidR="00BC6C72" w:rsidRPr="00F817EB">
        <w:rPr>
          <w:sz w:val="28"/>
          <w:szCs w:val="28"/>
        </w:rPr>
        <w:t>.20</w:t>
      </w:r>
      <w:r>
        <w:rPr>
          <w:sz w:val="28"/>
          <w:szCs w:val="28"/>
        </w:rPr>
        <w:t>20</w:t>
      </w:r>
      <w:r w:rsidR="00BC6C72" w:rsidRPr="00F817EB">
        <w:rPr>
          <w:sz w:val="28"/>
          <w:szCs w:val="28"/>
        </w:rPr>
        <w:t xml:space="preserve"> г.</w:t>
      </w:r>
      <w:r w:rsidR="004A46D9">
        <w:rPr>
          <w:sz w:val="28"/>
          <w:szCs w:val="28"/>
        </w:rPr>
        <w:tab/>
        <w:t xml:space="preserve">Таким образом, объемы средств </w:t>
      </w:r>
      <w:r w:rsidR="006045A9">
        <w:rPr>
          <w:sz w:val="28"/>
          <w:szCs w:val="28"/>
        </w:rPr>
        <w:t xml:space="preserve">в РРО </w:t>
      </w:r>
      <w:r w:rsidR="004A46D9">
        <w:rPr>
          <w:sz w:val="28"/>
          <w:szCs w:val="28"/>
        </w:rPr>
        <w:t>20</w:t>
      </w:r>
      <w:r w:rsidR="006045A9">
        <w:rPr>
          <w:sz w:val="28"/>
          <w:szCs w:val="28"/>
        </w:rPr>
        <w:t>2</w:t>
      </w:r>
      <w:r>
        <w:rPr>
          <w:sz w:val="28"/>
          <w:szCs w:val="28"/>
        </w:rPr>
        <w:t>1</w:t>
      </w:r>
      <w:r w:rsidR="004A46D9">
        <w:rPr>
          <w:sz w:val="28"/>
          <w:szCs w:val="28"/>
        </w:rPr>
        <w:t>-202</w:t>
      </w:r>
      <w:r>
        <w:rPr>
          <w:sz w:val="28"/>
          <w:szCs w:val="28"/>
        </w:rPr>
        <w:t>3</w:t>
      </w:r>
      <w:r w:rsidR="004A46D9">
        <w:rPr>
          <w:sz w:val="28"/>
          <w:szCs w:val="28"/>
        </w:rPr>
        <w:t xml:space="preserve"> г. г. не </w:t>
      </w:r>
      <w:r w:rsidR="009A2FC8">
        <w:rPr>
          <w:sz w:val="28"/>
          <w:szCs w:val="28"/>
        </w:rPr>
        <w:t>отражают</w:t>
      </w:r>
      <w:r w:rsidR="004A46D9">
        <w:rPr>
          <w:sz w:val="28"/>
          <w:szCs w:val="28"/>
        </w:rPr>
        <w:t xml:space="preserve"> расходы, учтенны</w:t>
      </w:r>
      <w:r w:rsidR="009A2FC8">
        <w:rPr>
          <w:sz w:val="28"/>
          <w:szCs w:val="28"/>
        </w:rPr>
        <w:t>е</w:t>
      </w:r>
      <w:r w:rsidR="004A46D9">
        <w:rPr>
          <w:sz w:val="28"/>
          <w:szCs w:val="28"/>
        </w:rPr>
        <w:t xml:space="preserve"> в рассматриваемом проекте решения. </w:t>
      </w:r>
    </w:p>
    <w:p w:rsidR="00B22505" w:rsidRPr="009A2FC8" w:rsidRDefault="006045A9" w:rsidP="00651789">
      <w:pPr>
        <w:tabs>
          <w:tab w:val="left" w:pos="616"/>
          <w:tab w:val="left" w:pos="841"/>
          <w:tab w:val="left" w:pos="1000"/>
        </w:tabs>
        <w:autoSpaceDE w:val="0"/>
        <w:autoSpaceDN w:val="0"/>
        <w:adjustRightInd w:val="0"/>
        <w:spacing w:line="360" w:lineRule="exact"/>
        <w:jc w:val="both"/>
        <w:outlineLvl w:val="1"/>
        <w:rPr>
          <w:sz w:val="28"/>
          <w:szCs w:val="28"/>
        </w:rPr>
      </w:pPr>
      <w:r>
        <w:rPr>
          <w:sz w:val="28"/>
          <w:szCs w:val="28"/>
        </w:rPr>
        <w:tab/>
      </w:r>
      <w:r w:rsidR="00BA6458">
        <w:rPr>
          <w:rFonts w:eastAsiaTheme="minorHAnsi"/>
          <w:sz w:val="28"/>
          <w:szCs w:val="28"/>
          <w:lang w:eastAsia="en-US"/>
        </w:rPr>
        <w:t>Необходимо</w:t>
      </w:r>
      <w:r w:rsidR="00B22505" w:rsidRPr="00A179E7">
        <w:rPr>
          <w:rFonts w:eastAsiaTheme="minorHAnsi"/>
          <w:sz w:val="28"/>
          <w:szCs w:val="28"/>
          <w:lang w:eastAsia="en-US"/>
        </w:rPr>
        <w:t xml:space="preserve"> </w:t>
      </w:r>
      <w:r w:rsidR="00BA6458">
        <w:rPr>
          <w:rFonts w:eastAsiaTheme="minorHAnsi"/>
          <w:sz w:val="28"/>
          <w:szCs w:val="28"/>
          <w:lang w:eastAsia="en-US"/>
        </w:rPr>
        <w:t xml:space="preserve">актуализировать РРО </w:t>
      </w:r>
      <w:r w:rsidR="00D25574">
        <w:rPr>
          <w:rFonts w:eastAsiaTheme="minorHAnsi"/>
          <w:sz w:val="28"/>
          <w:szCs w:val="28"/>
          <w:lang w:eastAsia="en-US"/>
        </w:rPr>
        <w:t xml:space="preserve">на </w:t>
      </w:r>
      <w:r w:rsidR="00BA6458">
        <w:rPr>
          <w:rFonts w:eastAsiaTheme="minorHAnsi"/>
          <w:sz w:val="28"/>
          <w:szCs w:val="28"/>
          <w:lang w:eastAsia="en-US"/>
        </w:rPr>
        <w:t>20</w:t>
      </w:r>
      <w:r>
        <w:rPr>
          <w:rFonts w:eastAsiaTheme="minorHAnsi"/>
          <w:sz w:val="28"/>
          <w:szCs w:val="28"/>
          <w:lang w:eastAsia="en-US"/>
        </w:rPr>
        <w:t>2</w:t>
      </w:r>
      <w:r w:rsidR="00B3579E">
        <w:rPr>
          <w:rFonts w:eastAsiaTheme="minorHAnsi"/>
          <w:sz w:val="28"/>
          <w:szCs w:val="28"/>
          <w:lang w:eastAsia="en-US"/>
        </w:rPr>
        <w:t>1</w:t>
      </w:r>
      <w:r w:rsidR="00BA6458">
        <w:rPr>
          <w:rFonts w:eastAsiaTheme="minorHAnsi"/>
          <w:sz w:val="28"/>
          <w:szCs w:val="28"/>
          <w:lang w:eastAsia="en-US"/>
        </w:rPr>
        <w:t>-202</w:t>
      </w:r>
      <w:r w:rsidR="00B3579E">
        <w:rPr>
          <w:rFonts w:eastAsiaTheme="minorHAnsi"/>
          <w:sz w:val="28"/>
          <w:szCs w:val="28"/>
          <w:lang w:eastAsia="en-US"/>
        </w:rPr>
        <w:t>3</w:t>
      </w:r>
      <w:r w:rsidR="00BA6458">
        <w:rPr>
          <w:rFonts w:eastAsiaTheme="minorHAnsi"/>
          <w:sz w:val="28"/>
          <w:szCs w:val="28"/>
          <w:lang w:eastAsia="en-US"/>
        </w:rPr>
        <w:t xml:space="preserve"> г. </w:t>
      </w:r>
      <w:proofErr w:type="gramStart"/>
      <w:r w:rsidR="009A2FC8">
        <w:rPr>
          <w:rFonts w:eastAsiaTheme="minorHAnsi"/>
          <w:sz w:val="28"/>
          <w:szCs w:val="28"/>
          <w:lang w:eastAsia="en-US"/>
        </w:rPr>
        <w:t>г</w:t>
      </w:r>
      <w:proofErr w:type="gramEnd"/>
      <w:r w:rsidR="009A2FC8">
        <w:rPr>
          <w:rFonts w:eastAsiaTheme="minorHAnsi"/>
          <w:sz w:val="28"/>
          <w:szCs w:val="28"/>
          <w:lang w:eastAsia="en-US"/>
        </w:rPr>
        <w:t>.</w:t>
      </w:r>
    </w:p>
    <w:p w:rsidR="004D39C9" w:rsidRDefault="004D39C9" w:rsidP="00651789">
      <w:pPr>
        <w:tabs>
          <w:tab w:val="left" w:pos="616"/>
          <w:tab w:val="left" w:pos="841"/>
          <w:tab w:val="left" w:pos="1000"/>
        </w:tabs>
        <w:autoSpaceDE w:val="0"/>
        <w:autoSpaceDN w:val="0"/>
        <w:adjustRightInd w:val="0"/>
        <w:spacing w:line="360" w:lineRule="exact"/>
        <w:jc w:val="both"/>
        <w:outlineLvl w:val="1"/>
        <w:rPr>
          <w:b/>
          <w:i/>
          <w:sz w:val="28"/>
          <w:szCs w:val="28"/>
        </w:rPr>
      </w:pPr>
    </w:p>
    <w:p w:rsidR="00DB5143" w:rsidRPr="000E7A4D" w:rsidRDefault="00AC764B" w:rsidP="00651789">
      <w:pPr>
        <w:tabs>
          <w:tab w:val="left" w:pos="616"/>
          <w:tab w:val="left" w:pos="841"/>
          <w:tab w:val="left" w:pos="1000"/>
        </w:tabs>
        <w:autoSpaceDE w:val="0"/>
        <w:autoSpaceDN w:val="0"/>
        <w:adjustRightInd w:val="0"/>
        <w:spacing w:line="360" w:lineRule="exact"/>
        <w:jc w:val="center"/>
        <w:outlineLvl w:val="1"/>
        <w:rPr>
          <w:b/>
          <w:i/>
          <w:sz w:val="28"/>
          <w:szCs w:val="28"/>
        </w:rPr>
      </w:pPr>
      <w:r>
        <w:rPr>
          <w:b/>
          <w:i/>
          <w:sz w:val="28"/>
          <w:szCs w:val="28"/>
        </w:rPr>
        <w:lastRenderedPageBreak/>
        <w:t>7</w:t>
      </w:r>
      <w:r w:rsidR="00DB5143">
        <w:rPr>
          <w:b/>
          <w:i/>
          <w:sz w:val="28"/>
          <w:szCs w:val="28"/>
        </w:rPr>
        <w:t xml:space="preserve">. </w:t>
      </w:r>
      <w:r w:rsidR="00DB5143" w:rsidRPr="000E7A4D">
        <w:rPr>
          <w:b/>
          <w:i/>
          <w:sz w:val="28"/>
          <w:szCs w:val="28"/>
        </w:rPr>
        <w:t xml:space="preserve"> Анализ  прогнозируемого в очередном финансовом году и плановом периоде  общего объема доходов  </w:t>
      </w:r>
      <w:r w:rsidR="00405252" w:rsidRPr="00405252">
        <w:rPr>
          <w:b/>
          <w:i/>
          <w:sz w:val="28"/>
          <w:szCs w:val="28"/>
        </w:rPr>
        <w:t xml:space="preserve">бюджета </w:t>
      </w:r>
      <w:r w:rsidR="00DB5143" w:rsidRPr="000E7A4D">
        <w:rPr>
          <w:b/>
          <w:i/>
          <w:sz w:val="28"/>
          <w:szCs w:val="28"/>
        </w:rPr>
        <w:t xml:space="preserve">городского </w:t>
      </w:r>
      <w:r w:rsidR="00405252">
        <w:rPr>
          <w:b/>
          <w:i/>
          <w:sz w:val="28"/>
          <w:szCs w:val="28"/>
        </w:rPr>
        <w:t>округа</w:t>
      </w:r>
    </w:p>
    <w:p w:rsidR="00DB5143" w:rsidRDefault="00DB5143" w:rsidP="00651789">
      <w:pPr>
        <w:spacing w:line="360" w:lineRule="exact"/>
        <w:ind w:firstLine="709"/>
        <w:jc w:val="both"/>
        <w:rPr>
          <w:b/>
          <w:sz w:val="28"/>
          <w:szCs w:val="28"/>
        </w:rPr>
      </w:pPr>
      <w:r w:rsidRPr="00740C4E">
        <w:rPr>
          <w:sz w:val="28"/>
          <w:szCs w:val="28"/>
        </w:rPr>
        <w:t>Согласно проекту бюджета, общий объем доходов бюджета составляет на 20</w:t>
      </w:r>
      <w:r w:rsidR="00E02BC0">
        <w:rPr>
          <w:sz w:val="28"/>
          <w:szCs w:val="28"/>
        </w:rPr>
        <w:t>2</w:t>
      </w:r>
      <w:r w:rsidR="00D72B92">
        <w:rPr>
          <w:sz w:val="28"/>
          <w:szCs w:val="28"/>
        </w:rPr>
        <w:t>1</w:t>
      </w:r>
      <w:r w:rsidRPr="00740C4E">
        <w:rPr>
          <w:sz w:val="28"/>
          <w:szCs w:val="28"/>
        </w:rPr>
        <w:t xml:space="preserve"> год – </w:t>
      </w:r>
      <w:r w:rsidR="00D72B92" w:rsidRPr="00D72B92">
        <w:rPr>
          <w:b/>
          <w:sz w:val="28"/>
          <w:szCs w:val="28"/>
        </w:rPr>
        <w:t>3 701 839,9</w:t>
      </w:r>
      <w:r w:rsidRPr="00740C4E">
        <w:rPr>
          <w:sz w:val="28"/>
          <w:szCs w:val="28"/>
        </w:rPr>
        <w:t xml:space="preserve"> </w:t>
      </w:r>
      <w:r w:rsidRPr="00740C4E">
        <w:rPr>
          <w:b/>
          <w:sz w:val="28"/>
          <w:szCs w:val="28"/>
        </w:rPr>
        <w:t>тыс. руб.</w:t>
      </w:r>
      <w:r w:rsidRPr="00740C4E">
        <w:rPr>
          <w:sz w:val="28"/>
          <w:szCs w:val="28"/>
        </w:rPr>
        <w:t xml:space="preserve">, на </w:t>
      </w:r>
      <w:r w:rsidR="0054797F">
        <w:rPr>
          <w:sz w:val="28"/>
          <w:szCs w:val="28"/>
        </w:rPr>
        <w:t>плановый период</w:t>
      </w:r>
      <w:r w:rsidR="00025336">
        <w:rPr>
          <w:sz w:val="28"/>
          <w:szCs w:val="28"/>
        </w:rPr>
        <w:t>:</w:t>
      </w:r>
      <w:r w:rsidR="0054797F">
        <w:rPr>
          <w:sz w:val="28"/>
          <w:szCs w:val="28"/>
        </w:rPr>
        <w:t xml:space="preserve"> </w:t>
      </w:r>
      <w:r w:rsidRPr="00740C4E">
        <w:rPr>
          <w:sz w:val="28"/>
          <w:szCs w:val="28"/>
        </w:rPr>
        <w:t>20</w:t>
      </w:r>
      <w:r w:rsidR="001B7E35">
        <w:rPr>
          <w:sz w:val="28"/>
          <w:szCs w:val="28"/>
        </w:rPr>
        <w:t>2</w:t>
      </w:r>
      <w:r w:rsidR="00D72B92">
        <w:rPr>
          <w:sz w:val="28"/>
          <w:szCs w:val="28"/>
        </w:rPr>
        <w:t>2</w:t>
      </w:r>
      <w:r w:rsidRPr="00740C4E">
        <w:rPr>
          <w:sz w:val="28"/>
          <w:szCs w:val="28"/>
        </w:rPr>
        <w:t xml:space="preserve"> год – </w:t>
      </w:r>
      <w:r w:rsidR="00D72B92" w:rsidRPr="00D72B92">
        <w:rPr>
          <w:b/>
          <w:sz w:val="28"/>
          <w:szCs w:val="28"/>
        </w:rPr>
        <w:t>3 446 748,2</w:t>
      </w:r>
      <w:r w:rsidR="0082360D">
        <w:rPr>
          <w:b/>
          <w:sz w:val="28"/>
          <w:szCs w:val="28"/>
        </w:rPr>
        <w:t xml:space="preserve"> </w:t>
      </w:r>
      <w:r w:rsidRPr="00740C4E">
        <w:rPr>
          <w:b/>
          <w:sz w:val="28"/>
          <w:szCs w:val="28"/>
        </w:rPr>
        <w:t>тыс. руб.</w:t>
      </w:r>
      <w:r w:rsidRPr="00740C4E">
        <w:rPr>
          <w:sz w:val="28"/>
          <w:szCs w:val="28"/>
        </w:rPr>
        <w:t>, на 20</w:t>
      </w:r>
      <w:r w:rsidR="00E5089A">
        <w:rPr>
          <w:sz w:val="28"/>
          <w:szCs w:val="28"/>
        </w:rPr>
        <w:t>2</w:t>
      </w:r>
      <w:r w:rsidR="00D72B92">
        <w:rPr>
          <w:sz w:val="28"/>
          <w:szCs w:val="28"/>
        </w:rPr>
        <w:t>3</w:t>
      </w:r>
      <w:r w:rsidRPr="00740C4E">
        <w:rPr>
          <w:sz w:val="28"/>
          <w:szCs w:val="28"/>
        </w:rPr>
        <w:t xml:space="preserve"> год – </w:t>
      </w:r>
      <w:r w:rsidR="00D72B92" w:rsidRPr="00D72B92">
        <w:rPr>
          <w:b/>
          <w:sz w:val="28"/>
          <w:szCs w:val="28"/>
        </w:rPr>
        <w:t>3 100 606,0</w:t>
      </w:r>
      <w:r w:rsidRPr="00740C4E">
        <w:rPr>
          <w:b/>
          <w:sz w:val="28"/>
          <w:szCs w:val="28"/>
        </w:rPr>
        <w:t xml:space="preserve"> тыс. руб.</w:t>
      </w:r>
    </w:p>
    <w:p w:rsidR="00DB5143" w:rsidRPr="00740C4E" w:rsidRDefault="00DB5143" w:rsidP="00DB5143">
      <w:pPr>
        <w:ind w:firstLine="709"/>
        <w:jc w:val="both"/>
        <w:rPr>
          <w:b/>
          <w:sz w:val="28"/>
          <w:szCs w:val="28"/>
        </w:rPr>
      </w:pPr>
    </w:p>
    <w:p w:rsidR="00DB5143" w:rsidRDefault="00DB5143" w:rsidP="00DB5143">
      <w:pPr>
        <w:ind w:firstLine="709"/>
        <w:jc w:val="both"/>
        <w:rPr>
          <w:sz w:val="28"/>
          <w:szCs w:val="28"/>
        </w:rPr>
      </w:pPr>
      <w:r>
        <w:rPr>
          <w:noProof/>
          <w:sz w:val="28"/>
          <w:szCs w:val="28"/>
        </w:rPr>
        <w:drawing>
          <wp:inline distT="0" distB="0" distL="0" distR="0" wp14:anchorId="2979FE28" wp14:editId="48180AF7">
            <wp:extent cx="5943600" cy="3200400"/>
            <wp:effectExtent l="0" t="0" r="19050" b="1905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C1E18" w:rsidRDefault="007C1E18" w:rsidP="00DB5143">
      <w:pPr>
        <w:spacing w:line="360" w:lineRule="exact"/>
        <w:ind w:firstLine="709"/>
        <w:jc w:val="both"/>
        <w:rPr>
          <w:sz w:val="28"/>
          <w:szCs w:val="28"/>
        </w:rPr>
      </w:pPr>
    </w:p>
    <w:p w:rsidR="00933C54" w:rsidRDefault="00933C54" w:rsidP="00DB5143">
      <w:pPr>
        <w:spacing w:line="360" w:lineRule="exact"/>
        <w:ind w:firstLine="709"/>
        <w:jc w:val="both"/>
        <w:rPr>
          <w:sz w:val="28"/>
          <w:szCs w:val="28"/>
        </w:rPr>
      </w:pPr>
      <w:r>
        <w:rPr>
          <w:sz w:val="28"/>
          <w:szCs w:val="28"/>
        </w:rPr>
        <w:t xml:space="preserve">При анализе планируемых </w:t>
      </w:r>
      <w:r w:rsidR="00F529E8">
        <w:rPr>
          <w:sz w:val="28"/>
          <w:szCs w:val="28"/>
        </w:rPr>
        <w:t>доходов</w:t>
      </w:r>
      <w:r>
        <w:rPr>
          <w:sz w:val="28"/>
          <w:szCs w:val="28"/>
        </w:rPr>
        <w:t xml:space="preserve"> с ранее утвержденными установлено следующее:</w:t>
      </w:r>
    </w:p>
    <w:p w:rsidR="00933C54" w:rsidRDefault="007F75B3" w:rsidP="007565C4">
      <w:pPr>
        <w:pStyle w:val="a5"/>
        <w:numPr>
          <w:ilvl w:val="0"/>
          <w:numId w:val="15"/>
        </w:numPr>
        <w:spacing w:line="360" w:lineRule="exact"/>
        <w:ind w:left="0" w:firstLine="1140"/>
        <w:jc w:val="both"/>
        <w:rPr>
          <w:sz w:val="28"/>
          <w:szCs w:val="28"/>
        </w:rPr>
      </w:pPr>
      <w:r>
        <w:rPr>
          <w:sz w:val="28"/>
          <w:szCs w:val="28"/>
        </w:rPr>
        <w:t xml:space="preserve">в </w:t>
      </w:r>
      <w:r w:rsidR="00933C54" w:rsidRPr="00933C54">
        <w:rPr>
          <w:sz w:val="28"/>
          <w:szCs w:val="28"/>
        </w:rPr>
        <w:t>целом с</w:t>
      </w:r>
      <w:r w:rsidR="00D12D16" w:rsidRPr="00933C54">
        <w:rPr>
          <w:sz w:val="28"/>
          <w:szCs w:val="28"/>
        </w:rPr>
        <w:t xml:space="preserve">обственные доходы (налоговые и неналоговые) запланированы </w:t>
      </w:r>
      <w:r w:rsidR="004B1CCA">
        <w:rPr>
          <w:sz w:val="28"/>
          <w:szCs w:val="28"/>
        </w:rPr>
        <w:t xml:space="preserve">с незначительным увеличением: на 2021 г. – 4,1 % к утвержденным, на 2022 и 2023 г. – </w:t>
      </w:r>
      <w:r w:rsidR="00980BBF">
        <w:rPr>
          <w:sz w:val="28"/>
          <w:szCs w:val="28"/>
        </w:rPr>
        <w:t xml:space="preserve">соответственно </w:t>
      </w:r>
      <w:r w:rsidR="004B1CCA">
        <w:rPr>
          <w:sz w:val="28"/>
          <w:szCs w:val="28"/>
        </w:rPr>
        <w:t>на 4,0 % и 0,5 % к предшествующим периодам</w:t>
      </w:r>
      <w:r w:rsidR="00D12D16" w:rsidRPr="00933C54">
        <w:rPr>
          <w:sz w:val="28"/>
          <w:szCs w:val="28"/>
        </w:rPr>
        <w:t xml:space="preserve">. </w:t>
      </w:r>
    </w:p>
    <w:p w:rsidR="00FC20BF" w:rsidRDefault="001C1BE3" w:rsidP="007565C4">
      <w:pPr>
        <w:pStyle w:val="a5"/>
        <w:numPr>
          <w:ilvl w:val="0"/>
          <w:numId w:val="15"/>
        </w:numPr>
        <w:spacing w:line="360" w:lineRule="exact"/>
        <w:ind w:left="0" w:firstLine="1140"/>
        <w:jc w:val="both"/>
        <w:rPr>
          <w:sz w:val="28"/>
          <w:szCs w:val="28"/>
        </w:rPr>
      </w:pPr>
      <w:r>
        <w:rPr>
          <w:sz w:val="28"/>
          <w:szCs w:val="28"/>
        </w:rPr>
        <w:t xml:space="preserve">значительные объемы </w:t>
      </w:r>
      <w:r w:rsidR="00D12D16" w:rsidRPr="00933C54">
        <w:rPr>
          <w:sz w:val="28"/>
          <w:szCs w:val="28"/>
        </w:rPr>
        <w:t>безвозмездны</w:t>
      </w:r>
      <w:r>
        <w:rPr>
          <w:sz w:val="28"/>
          <w:szCs w:val="28"/>
        </w:rPr>
        <w:t>х</w:t>
      </w:r>
      <w:r w:rsidR="00D12D16" w:rsidRPr="00933C54">
        <w:rPr>
          <w:sz w:val="28"/>
          <w:szCs w:val="28"/>
        </w:rPr>
        <w:t xml:space="preserve"> поступлени</w:t>
      </w:r>
      <w:r>
        <w:rPr>
          <w:sz w:val="28"/>
          <w:szCs w:val="28"/>
        </w:rPr>
        <w:t>й</w:t>
      </w:r>
      <w:r w:rsidR="00D12D16" w:rsidRPr="00933C54">
        <w:rPr>
          <w:sz w:val="28"/>
          <w:szCs w:val="28"/>
        </w:rPr>
        <w:t xml:space="preserve"> в 2021 год</w:t>
      </w:r>
      <w:r>
        <w:rPr>
          <w:sz w:val="28"/>
          <w:szCs w:val="28"/>
        </w:rPr>
        <w:t>у</w:t>
      </w:r>
      <w:r w:rsidR="00D12D16" w:rsidRPr="00933C54">
        <w:rPr>
          <w:sz w:val="28"/>
          <w:szCs w:val="28"/>
        </w:rPr>
        <w:t xml:space="preserve"> обусловлен</w:t>
      </w:r>
      <w:r>
        <w:rPr>
          <w:sz w:val="28"/>
          <w:szCs w:val="28"/>
        </w:rPr>
        <w:t>ы</w:t>
      </w:r>
      <w:r w:rsidR="00D12D16" w:rsidRPr="00933C54">
        <w:rPr>
          <w:sz w:val="28"/>
          <w:szCs w:val="28"/>
        </w:rPr>
        <w:t xml:space="preserve"> </w:t>
      </w:r>
      <w:r w:rsidR="00930A3F" w:rsidRPr="00933C54">
        <w:rPr>
          <w:sz w:val="28"/>
          <w:szCs w:val="28"/>
        </w:rPr>
        <w:t>выделением сре</w:t>
      </w:r>
      <w:proofErr w:type="gramStart"/>
      <w:r w:rsidR="00930A3F" w:rsidRPr="00933C54">
        <w:rPr>
          <w:sz w:val="28"/>
          <w:szCs w:val="28"/>
        </w:rPr>
        <w:t>дств кр</w:t>
      </w:r>
      <w:proofErr w:type="gramEnd"/>
      <w:r w:rsidR="00930A3F" w:rsidRPr="00933C54">
        <w:rPr>
          <w:sz w:val="28"/>
          <w:szCs w:val="28"/>
        </w:rPr>
        <w:t>аевого бюджета на строительство школы в микрорайоне Клестовка г. Соликамск (</w:t>
      </w:r>
      <w:r>
        <w:rPr>
          <w:sz w:val="28"/>
          <w:szCs w:val="28"/>
        </w:rPr>
        <w:t>456 664,8 тыс. руб., что составляет 20,4 % в объеме безвозмездных поступлений</w:t>
      </w:r>
      <w:r w:rsidR="00930A3F" w:rsidRPr="00933C54">
        <w:rPr>
          <w:sz w:val="28"/>
          <w:szCs w:val="28"/>
        </w:rPr>
        <w:t>).</w:t>
      </w:r>
    </w:p>
    <w:p w:rsidR="004A5200" w:rsidRPr="00FC20BF" w:rsidRDefault="00FC20BF" w:rsidP="001C1BE3">
      <w:pPr>
        <w:pStyle w:val="a5"/>
        <w:numPr>
          <w:ilvl w:val="0"/>
          <w:numId w:val="15"/>
        </w:numPr>
        <w:spacing w:line="360" w:lineRule="exact"/>
        <w:ind w:left="0" w:firstLine="1140"/>
        <w:jc w:val="both"/>
        <w:rPr>
          <w:sz w:val="28"/>
          <w:szCs w:val="28"/>
        </w:rPr>
      </w:pPr>
      <w:r>
        <w:rPr>
          <w:sz w:val="28"/>
          <w:szCs w:val="28"/>
        </w:rPr>
        <w:t>у</w:t>
      </w:r>
      <w:r w:rsidR="004A5200" w:rsidRPr="00FC20BF">
        <w:rPr>
          <w:sz w:val="28"/>
          <w:szCs w:val="28"/>
        </w:rPr>
        <w:t xml:space="preserve">величение дотации в 2021 г. </w:t>
      </w:r>
      <w:r w:rsidR="001C1BE3">
        <w:rPr>
          <w:sz w:val="28"/>
          <w:szCs w:val="28"/>
        </w:rPr>
        <w:t xml:space="preserve">обусловлено предоставлением </w:t>
      </w:r>
      <w:r w:rsidR="004A5200" w:rsidRPr="00FC20BF">
        <w:rPr>
          <w:sz w:val="28"/>
          <w:szCs w:val="28"/>
        </w:rPr>
        <w:t xml:space="preserve"> </w:t>
      </w:r>
      <w:r w:rsidR="001C1BE3">
        <w:rPr>
          <w:sz w:val="28"/>
          <w:szCs w:val="28"/>
        </w:rPr>
        <w:t>«</w:t>
      </w:r>
      <w:r w:rsidR="001C1BE3" w:rsidRPr="001C1BE3">
        <w:rPr>
          <w:sz w:val="28"/>
          <w:szCs w:val="28"/>
        </w:rPr>
        <w:t>Дотации на сбалансированность бюджетов муниципальных районов, муниципальных округов, городских округов Пермского края</w:t>
      </w:r>
      <w:r w:rsidR="001C1BE3">
        <w:rPr>
          <w:sz w:val="28"/>
          <w:szCs w:val="28"/>
        </w:rPr>
        <w:t xml:space="preserve">» – </w:t>
      </w:r>
      <w:r w:rsidR="001C1BE3" w:rsidRPr="001C1BE3">
        <w:rPr>
          <w:sz w:val="28"/>
          <w:szCs w:val="28"/>
        </w:rPr>
        <w:t>40 487,4</w:t>
      </w:r>
      <w:r w:rsidR="003059DA" w:rsidRPr="00FC20BF">
        <w:rPr>
          <w:sz w:val="28"/>
          <w:szCs w:val="28"/>
        </w:rPr>
        <w:t xml:space="preserve"> тыс. руб.</w:t>
      </w:r>
    </w:p>
    <w:p w:rsidR="00DB5143" w:rsidRDefault="00DB5143" w:rsidP="00DB5143">
      <w:pPr>
        <w:spacing w:line="360" w:lineRule="exact"/>
        <w:ind w:firstLine="709"/>
        <w:jc w:val="both"/>
        <w:rPr>
          <w:sz w:val="28"/>
          <w:szCs w:val="28"/>
        </w:rPr>
      </w:pPr>
      <w:r w:rsidRPr="00881791">
        <w:rPr>
          <w:sz w:val="28"/>
          <w:szCs w:val="28"/>
        </w:rPr>
        <w:t>А</w:t>
      </w:r>
      <w:r w:rsidRPr="00740C4E">
        <w:rPr>
          <w:sz w:val="28"/>
          <w:szCs w:val="28"/>
        </w:rPr>
        <w:t xml:space="preserve">нализ изменения доходной части в разрезе видов доходов представлен следующими данными: </w:t>
      </w:r>
    </w:p>
    <w:p w:rsidR="007C1E18" w:rsidRDefault="007C1E18" w:rsidP="00DB5143">
      <w:pPr>
        <w:spacing w:line="360" w:lineRule="exact"/>
        <w:ind w:firstLine="709"/>
        <w:jc w:val="both"/>
        <w:rPr>
          <w:sz w:val="28"/>
          <w:szCs w:val="28"/>
        </w:rPr>
      </w:pPr>
    </w:p>
    <w:p w:rsidR="00253E9B" w:rsidRDefault="00253E9B" w:rsidP="00DB5143">
      <w:pPr>
        <w:spacing w:line="360" w:lineRule="exact"/>
        <w:ind w:firstLine="709"/>
        <w:jc w:val="both"/>
        <w:rPr>
          <w:sz w:val="28"/>
          <w:szCs w:val="28"/>
        </w:rPr>
      </w:pPr>
    </w:p>
    <w:p w:rsidR="00253E9B" w:rsidRDefault="00253E9B" w:rsidP="00DB5143">
      <w:pPr>
        <w:spacing w:line="360" w:lineRule="exact"/>
        <w:ind w:firstLine="709"/>
        <w:jc w:val="both"/>
        <w:rPr>
          <w:sz w:val="28"/>
          <w:szCs w:val="28"/>
        </w:rPr>
      </w:pPr>
    </w:p>
    <w:p w:rsidR="00253E9B" w:rsidRDefault="00253E9B" w:rsidP="00DB5143">
      <w:pPr>
        <w:spacing w:line="360" w:lineRule="exact"/>
        <w:ind w:firstLine="709"/>
        <w:jc w:val="both"/>
        <w:rPr>
          <w:sz w:val="28"/>
          <w:szCs w:val="28"/>
        </w:rPr>
      </w:pPr>
    </w:p>
    <w:p w:rsidR="007C1E18" w:rsidRDefault="007C1E18" w:rsidP="00DB5143">
      <w:pPr>
        <w:ind w:firstLine="709"/>
        <w:jc w:val="right"/>
        <w:rPr>
          <w:i/>
          <w:sz w:val="22"/>
          <w:szCs w:val="22"/>
        </w:rPr>
      </w:pPr>
    </w:p>
    <w:p w:rsidR="00DB5143" w:rsidRDefault="00DB5143" w:rsidP="00DB5143">
      <w:pPr>
        <w:ind w:firstLine="709"/>
        <w:jc w:val="right"/>
        <w:rPr>
          <w:i/>
          <w:sz w:val="22"/>
          <w:szCs w:val="22"/>
        </w:rPr>
      </w:pPr>
      <w:r w:rsidRPr="00D77BE8">
        <w:rPr>
          <w:i/>
          <w:sz w:val="22"/>
          <w:szCs w:val="22"/>
        </w:rPr>
        <w:lastRenderedPageBreak/>
        <w:t>Таблица № 1,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559"/>
        <w:gridCol w:w="1843"/>
        <w:gridCol w:w="1417"/>
        <w:gridCol w:w="1418"/>
        <w:gridCol w:w="1665"/>
      </w:tblGrid>
      <w:tr w:rsidR="00A7155E" w:rsidRPr="002D5192" w:rsidTr="00A83880">
        <w:trPr>
          <w:jc w:val="center"/>
        </w:trPr>
        <w:tc>
          <w:tcPr>
            <w:tcW w:w="2802" w:type="dxa"/>
            <w:shd w:val="clear" w:color="auto" w:fill="auto"/>
            <w:vAlign w:val="center"/>
          </w:tcPr>
          <w:p w:rsidR="00A7155E" w:rsidRPr="002D5192" w:rsidRDefault="00A7155E" w:rsidP="00A7155E">
            <w:pPr>
              <w:jc w:val="center"/>
              <w:rPr>
                <w:b/>
              </w:rPr>
            </w:pPr>
            <w:r>
              <w:rPr>
                <w:b/>
              </w:rPr>
              <w:t>Показа</w:t>
            </w:r>
            <w:r w:rsidRPr="002D5192">
              <w:rPr>
                <w:b/>
              </w:rPr>
              <w:t>тели</w:t>
            </w:r>
          </w:p>
        </w:tc>
        <w:tc>
          <w:tcPr>
            <w:tcW w:w="1559" w:type="dxa"/>
            <w:shd w:val="clear" w:color="auto" w:fill="auto"/>
            <w:vAlign w:val="center"/>
          </w:tcPr>
          <w:p w:rsidR="00A7155E" w:rsidRPr="002D5192" w:rsidRDefault="00A7155E" w:rsidP="00881791">
            <w:pPr>
              <w:jc w:val="center"/>
              <w:rPr>
                <w:b/>
              </w:rPr>
            </w:pPr>
            <w:r>
              <w:rPr>
                <w:b/>
              </w:rPr>
              <w:t>Ожид</w:t>
            </w:r>
            <w:r w:rsidRPr="002D5192">
              <w:rPr>
                <w:b/>
              </w:rPr>
              <w:t>аемое исполнение за 20</w:t>
            </w:r>
            <w:r w:rsidR="00881791">
              <w:rPr>
                <w:b/>
              </w:rPr>
              <w:t>20</w:t>
            </w:r>
            <w:r w:rsidRPr="002D5192">
              <w:rPr>
                <w:b/>
              </w:rPr>
              <w:t xml:space="preserve"> год</w:t>
            </w:r>
          </w:p>
        </w:tc>
        <w:tc>
          <w:tcPr>
            <w:tcW w:w="1843" w:type="dxa"/>
            <w:shd w:val="clear" w:color="auto" w:fill="auto"/>
            <w:vAlign w:val="center"/>
          </w:tcPr>
          <w:p w:rsidR="00A7155E" w:rsidRPr="002D5192" w:rsidRDefault="00A7155E" w:rsidP="00881791">
            <w:pPr>
              <w:jc w:val="center"/>
              <w:rPr>
                <w:b/>
              </w:rPr>
            </w:pPr>
            <w:r w:rsidRPr="002D5192">
              <w:rPr>
                <w:b/>
              </w:rPr>
              <w:t>20</w:t>
            </w:r>
            <w:r w:rsidR="00C155CD">
              <w:rPr>
                <w:b/>
              </w:rPr>
              <w:t>2</w:t>
            </w:r>
            <w:r w:rsidR="00881791">
              <w:rPr>
                <w:b/>
              </w:rPr>
              <w:t>1</w:t>
            </w:r>
            <w:r w:rsidRPr="002D5192">
              <w:rPr>
                <w:b/>
              </w:rPr>
              <w:t xml:space="preserve"> (утверждено решением СГД № </w:t>
            </w:r>
            <w:r w:rsidR="00881791">
              <w:rPr>
                <w:b/>
              </w:rPr>
              <w:t>655</w:t>
            </w:r>
            <w:r>
              <w:rPr>
                <w:b/>
              </w:rPr>
              <w:t xml:space="preserve"> от 1</w:t>
            </w:r>
            <w:r w:rsidR="00881791">
              <w:rPr>
                <w:b/>
              </w:rPr>
              <w:t>8</w:t>
            </w:r>
            <w:r w:rsidRPr="002D5192">
              <w:rPr>
                <w:b/>
              </w:rPr>
              <w:t>.12</w:t>
            </w:r>
            <w:r>
              <w:rPr>
                <w:b/>
              </w:rPr>
              <w:t>.201</w:t>
            </w:r>
            <w:r w:rsidR="00881791">
              <w:rPr>
                <w:b/>
              </w:rPr>
              <w:t>9</w:t>
            </w:r>
            <w:r>
              <w:rPr>
                <w:b/>
              </w:rPr>
              <w:t xml:space="preserve"> </w:t>
            </w:r>
            <w:r w:rsidRPr="002D5192">
              <w:rPr>
                <w:b/>
              </w:rPr>
              <w:t>г.</w:t>
            </w:r>
            <w:r w:rsidR="00881791">
              <w:rPr>
                <w:b/>
              </w:rPr>
              <w:t>, с учетом изменений</w:t>
            </w:r>
            <w:r w:rsidR="002D5263">
              <w:rPr>
                <w:b/>
              </w:rPr>
              <w:t xml:space="preserve"> на 01.11.2020 г.</w:t>
            </w:r>
            <w:r w:rsidRPr="002D5192">
              <w:rPr>
                <w:b/>
              </w:rPr>
              <w:t>)</w:t>
            </w:r>
          </w:p>
        </w:tc>
        <w:tc>
          <w:tcPr>
            <w:tcW w:w="1417" w:type="dxa"/>
            <w:shd w:val="clear" w:color="auto" w:fill="auto"/>
            <w:vAlign w:val="center"/>
          </w:tcPr>
          <w:p w:rsidR="00A7155E" w:rsidRPr="002D5192" w:rsidRDefault="00A7155E" w:rsidP="002D5263">
            <w:pPr>
              <w:jc w:val="center"/>
              <w:rPr>
                <w:b/>
              </w:rPr>
            </w:pPr>
            <w:r w:rsidRPr="002D5192">
              <w:rPr>
                <w:b/>
              </w:rPr>
              <w:t>20</w:t>
            </w:r>
            <w:r w:rsidR="00C155CD">
              <w:rPr>
                <w:b/>
              </w:rPr>
              <w:t>2</w:t>
            </w:r>
            <w:r w:rsidR="002D5263">
              <w:rPr>
                <w:b/>
              </w:rPr>
              <w:t>1</w:t>
            </w:r>
            <w:r w:rsidRPr="002D5192">
              <w:rPr>
                <w:b/>
              </w:rPr>
              <w:t xml:space="preserve"> (проект)</w:t>
            </w:r>
          </w:p>
        </w:tc>
        <w:tc>
          <w:tcPr>
            <w:tcW w:w="1418" w:type="dxa"/>
            <w:shd w:val="clear" w:color="auto" w:fill="auto"/>
            <w:vAlign w:val="center"/>
          </w:tcPr>
          <w:p w:rsidR="00A7155E" w:rsidRPr="00A83880" w:rsidRDefault="00A7155E" w:rsidP="002D5263">
            <w:pPr>
              <w:jc w:val="center"/>
              <w:rPr>
                <w:b/>
                <w:sz w:val="20"/>
                <w:szCs w:val="20"/>
              </w:rPr>
            </w:pPr>
            <w:r w:rsidRPr="00A83880">
              <w:rPr>
                <w:b/>
                <w:sz w:val="20"/>
                <w:szCs w:val="20"/>
              </w:rPr>
              <w:t>Отношение к ожидаемому исполнению за 20</w:t>
            </w:r>
            <w:r w:rsidR="002D5263" w:rsidRPr="00A83880">
              <w:rPr>
                <w:b/>
                <w:sz w:val="20"/>
                <w:szCs w:val="20"/>
              </w:rPr>
              <w:t>20</w:t>
            </w:r>
            <w:r w:rsidRPr="00A83880">
              <w:rPr>
                <w:b/>
                <w:sz w:val="20"/>
                <w:szCs w:val="20"/>
              </w:rPr>
              <w:t xml:space="preserve"> г</w:t>
            </w:r>
            <w:proofErr w:type="gramStart"/>
            <w:r w:rsidRPr="00A83880">
              <w:rPr>
                <w:b/>
                <w:sz w:val="20"/>
                <w:szCs w:val="20"/>
              </w:rPr>
              <w:t>. (%)</w:t>
            </w:r>
            <w:proofErr w:type="gramEnd"/>
          </w:p>
        </w:tc>
        <w:tc>
          <w:tcPr>
            <w:tcW w:w="1665" w:type="dxa"/>
            <w:shd w:val="clear" w:color="auto" w:fill="auto"/>
            <w:vAlign w:val="center"/>
          </w:tcPr>
          <w:p w:rsidR="00A7155E" w:rsidRPr="00A83880" w:rsidRDefault="00A7155E" w:rsidP="00A7155E">
            <w:pPr>
              <w:jc w:val="center"/>
              <w:rPr>
                <w:b/>
                <w:sz w:val="20"/>
                <w:szCs w:val="20"/>
              </w:rPr>
            </w:pPr>
            <w:r w:rsidRPr="00A83880">
              <w:rPr>
                <w:b/>
                <w:sz w:val="20"/>
                <w:szCs w:val="20"/>
              </w:rPr>
              <w:t>Отношение к утвержденному плану</w:t>
            </w:r>
            <w:proofErr w:type="gramStart"/>
            <w:r w:rsidRPr="00A83880">
              <w:rPr>
                <w:b/>
                <w:sz w:val="20"/>
                <w:szCs w:val="20"/>
              </w:rPr>
              <w:t xml:space="preserve"> (%)</w:t>
            </w:r>
            <w:proofErr w:type="gramEnd"/>
          </w:p>
        </w:tc>
      </w:tr>
      <w:tr w:rsidR="00A7155E" w:rsidRPr="00740C4E" w:rsidTr="00A83880">
        <w:trPr>
          <w:jc w:val="center"/>
        </w:trPr>
        <w:tc>
          <w:tcPr>
            <w:tcW w:w="2802" w:type="dxa"/>
            <w:shd w:val="clear" w:color="auto" w:fill="auto"/>
          </w:tcPr>
          <w:p w:rsidR="00A7155E" w:rsidRPr="00740C4E" w:rsidRDefault="00A7155E" w:rsidP="00A7155E">
            <w:pPr>
              <w:jc w:val="both"/>
            </w:pPr>
            <w:r w:rsidRPr="00740C4E">
              <w:t>Налоговые доходы</w:t>
            </w:r>
          </w:p>
        </w:tc>
        <w:tc>
          <w:tcPr>
            <w:tcW w:w="1559" w:type="dxa"/>
            <w:shd w:val="clear" w:color="auto" w:fill="auto"/>
            <w:vAlign w:val="bottom"/>
          </w:tcPr>
          <w:p w:rsidR="00A7155E" w:rsidRDefault="002C7B0E" w:rsidP="00541B25">
            <w:pPr>
              <w:jc w:val="right"/>
            </w:pPr>
            <w:r>
              <w:t>1 091 432,3</w:t>
            </w:r>
          </w:p>
        </w:tc>
        <w:tc>
          <w:tcPr>
            <w:tcW w:w="1843" w:type="dxa"/>
            <w:shd w:val="clear" w:color="auto" w:fill="auto"/>
            <w:vAlign w:val="bottom"/>
          </w:tcPr>
          <w:p w:rsidR="00A7155E" w:rsidRPr="002A168A" w:rsidRDefault="009A45F2" w:rsidP="00A7155E">
            <w:pPr>
              <w:jc w:val="right"/>
            </w:pPr>
            <w:r>
              <w:t>1 114 188,0</w:t>
            </w:r>
          </w:p>
        </w:tc>
        <w:tc>
          <w:tcPr>
            <w:tcW w:w="1417" w:type="dxa"/>
            <w:shd w:val="clear" w:color="auto" w:fill="auto"/>
            <w:vAlign w:val="bottom"/>
          </w:tcPr>
          <w:p w:rsidR="00A7155E" w:rsidRDefault="00A83880" w:rsidP="00A7155E">
            <w:pPr>
              <w:jc w:val="right"/>
            </w:pPr>
            <w:r>
              <w:t>1 099 830,0</w:t>
            </w:r>
          </w:p>
        </w:tc>
        <w:tc>
          <w:tcPr>
            <w:tcW w:w="1418" w:type="dxa"/>
            <w:shd w:val="clear" w:color="auto" w:fill="auto"/>
            <w:vAlign w:val="bottom"/>
          </w:tcPr>
          <w:p w:rsidR="00A7155E" w:rsidRPr="00740C4E" w:rsidRDefault="007B3450" w:rsidP="00485D52">
            <w:pPr>
              <w:jc w:val="center"/>
            </w:pPr>
            <w:r>
              <w:t>100,</w:t>
            </w:r>
            <w:r w:rsidR="00485D52">
              <w:t>8</w:t>
            </w:r>
          </w:p>
        </w:tc>
        <w:tc>
          <w:tcPr>
            <w:tcW w:w="1665" w:type="dxa"/>
            <w:shd w:val="clear" w:color="auto" w:fill="auto"/>
            <w:vAlign w:val="bottom"/>
          </w:tcPr>
          <w:p w:rsidR="00A7155E" w:rsidRPr="00740C4E" w:rsidRDefault="00BD52A8" w:rsidP="00A7155E">
            <w:pPr>
              <w:ind w:firstLine="709"/>
            </w:pPr>
            <w:r>
              <w:t>98,7</w:t>
            </w:r>
          </w:p>
        </w:tc>
      </w:tr>
      <w:tr w:rsidR="00A7155E" w:rsidRPr="00740C4E" w:rsidTr="00A83880">
        <w:trPr>
          <w:jc w:val="center"/>
        </w:trPr>
        <w:tc>
          <w:tcPr>
            <w:tcW w:w="2802" w:type="dxa"/>
            <w:shd w:val="clear" w:color="auto" w:fill="auto"/>
          </w:tcPr>
          <w:p w:rsidR="00A7155E" w:rsidRPr="00740C4E" w:rsidRDefault="00A7155E" w:rsidP="00A7155E">
            <w:pPr>
              <w:jc w:val="both"/>
            </w:pPr>
            <w:r w:rsidRPr="00740C4E">
              <w:t>Неналоговые доходы</w:t>
            </w:r>
          </w:p>
        </w:tc>
        <w:tc>
          <w:tcPr>
            <w:tcW w:w="1559" w:type="dxa"/>
            <w:shd w:val="clear" w:color="auto" w:fill="auto"/>
            <w:vAlign w:val="bottom"/>
          </w:tcPr>
          <w:p w:rsidR="00A7155E" w:rsidRDefault="002C7B0E" w:rsidP="00541B25">
            <w:pPr>
              <w:jc w:val="right"/>
            </w:pPr>
            <w:r>
              <w:t>203 645,2</w:t>
            </w:r>
          </w:p>
        </w:tc>
        <w:tc>
          <w:tcPr>
            <w:tcW w:w="1843" w:type="dxa"/>
            <w:shd w:val="clear" w:color="auto" w:fill="auto"/>
            <w:vAlign w:val="bottom"/>
          </w:tcPr>
          <w:p w:rsidR="00A7155E" w:rsidRPr="002A168A" w:rsidRDefault="009A45F2" w:rsidP="00A7155E">
            <w:pPr>
              <w:jc w:val="right"/>
            </w:pPr>
            <w:r>
              <w:t>130 326,0</w:t>
            </w:r>
          </w:p>
        </w:tc>
        <w:tc>
          <w:tcPr>
            <w:tcW w:w="1417" w:type="dxa"/>
            <w:shd w:val="clear" w:color="auto" w:fill="auto"/>
            <w:vAlign w:val="bottom"/>
          </w:tcPr>
          <w:p w:rsidR="00A7155E" w:rsidRDefault="00A83880" w:rsidP="00A7155E">
            <w:pPr>
              <w:jc w:val="right"/>
            </w:pPr>
            <w:r>
              <w:t>195 699,0</w:t>
            </w:r>
          </w:p>
        </w:tc>
        <w:tc>
          <w:tcPr>
            <w:tcW w:w="1418" w:type="dxa"/>
            <w:shd w:val="clear" w:color="auto" w:fill="auto"/>
            <w:vAlign w:val="bottom"/>
          </w:tcPr>
          <w:p w:rsidR="00A7155E" w:rsidRPr="00740C4E" w:rsidRDefault="00485D52" w:rsidP="00A7155E">
            <w:pPr>
              <w:jc w:val="center"/>
            </w:pPr>
            <w:r>
              <w:t>96,1</w:t>
            </w:r>
          </w:p>
        </w:tc>
        <w:tc>
          <w:tcPr>
            <w:tcW w:w="1665" w:type="dxa"/>
            <w:shd w:val="clear" w:color="auto" w:fill="auto"/>
            <w:vAlign w:val="bottom"/>
          </w:tcPr>
          <w:p w:rsidR="00A7155E" w:rsidRPr="00740C4E" w:rsidRDefault="00BD52A8" w:rsidP="00A7155E">
            <w:pPr>
              <w:ind w:firstLine="709"/>
            </w:pPr>
            <w:r>
              <w:t>150,2</w:t>
            </w:r>
          </w:p>
        </w:tc>
      </w:tr>
      <w:tr w:rsidR="00A7155E" w:rsidRPr="00740C4E" w:rsidTr="00A83880">
        <w:trPr>
          <w:jc w:val="center"/>
        </w:trPr>
        <w:tc>
          <w:tcPr>
            <w:tcW w:w="2802" w:type="dxa"/>
            <w:shd w:val="clear" w:color="auto" w:fill="auto"/>
          </w:tcPr>
          <w:p w:rsidR="00A7155E" w:rsidRPr="00740C4E" w:rsidRDefault="00A7155E" w:rsidP="00653157">
            <w:pPr>
              <w:jc w:val="both"/>
            </w:pPr>
            <w:r w:rsidRPr="00740C4E">
              <w:t>Безвозмездные поступления</w:t>
            </w:r>
            <w:r w:rsidR="00653157">
              <w:t>, (без дотаций)</w:t>
            </w:r>
          </w:p>
        </w:tc>
        <w:tc>
          <w:tcPr>
            <w:tcW w:w="1559" w:type="dxa"/>
            <w:shd w:val="clear" w:color="auto" w:fill="auto"/>
            <w:vAlign w:val="bottom"/>
          </w:tcPr>
          <w:p w:rsidR="00A7155E" w:rsidRDefault="002C7B0E" w:rsidP="00A7155E">
            <w:pPr>
              <w:jc w:val="right"/>
            </w:pPr>
            <w:r>
              <w:t>2 125 213,2</w:t>
            </w:r>
          </w:p>
        </w:tc>
        <w:tc>
          <w:tcPr>
            <w:tcW w:w="1843" w:type="dxa"/>
            <w:shd w:val="clear" w:color="auto" w:fill="auto"/>
            <w:vAlign w:val="bottom"/>
          </w:tcPr>
          <w:p w:rsidR="00A7155E" w:rsidRPr="002A168A" w:rsidRDefault="009A45F2" w:rsidP="00A7155E">
            <w:pPr>
              <w:jc w:val="right"/>
            </w:pPr>
            <w:r>
              <w:t>2 174 993,7</w:t>
            </w:r>
          </w:p>
        </w:tc>
        <w:tc>
          <w:tcPr>
            <w:tcW w:w="1417" w:type="dxa"/>
            <w:shd w:val="clear" w:color="auto" w:fill="auto"/>
            <w:vAlign w:val="bottom"/>
          </w:tcPr>
          <w:p w:rsidR="00A7155E" w:rsidRDefault="00A83880" w:rsidP="00A7155E">
            <w:pPr>
              <w:jc w:val="right"/>
            </w:pPr>
            <w:r>
              <w:t>2 240 412,3</w:t>
            </w:r>
          </w:p>
        </w:tc>
        <w:tc>
          <w:tcPr>
            <w:tcW w:w="1418" w:type="dxa"/>
            <w:shd w:val="clear" w:color="auto" w:fill="auto"/>
            <w:vAlign w:val="bottom"/>
          </w:tcPr>
          <w:p w:rsidR="00A7155E" w:rsidRPr="00740C4E" w:rsidRDefault="00BD52A8" w:rsidP="00A7155E">
            <w:pPr>
              <w:jc w:val="center"/>
            </w:pPr>
            <w:r>
              <w:t>105,4</w:t>
            </w:r>
          </w:p>
        </w:tc>
        <w:tc>
          <w:tcPr>
            <w:tcW w:w="1665" w:type="dxa"/>
            <w:shd w:val="clear" w:color="auto" w:fill="auto"/>
            <w:vAlign w:val="bottom"/>
          </w:tcPr>
          <w:p w:rsidR="00A7155E" w:rsidRPr="00740C4E" w:rsidRDefault="00BD52A8" w:rsidP="00A7155E">
            <w:pPr>
              <w:ind w:firstLine="709"/>
            </w:pPr>
            <w:r>
              <w:t>103,0</w:t>
            </w:r>
          </w:p>
        </w:tc>
      </w:tr>
      <w:tr w:rsidR="00653157" w:rsidRPr="00740C4E" w:rsidTr="00A83880">
        <w:trPr>
          <w:jc w:val="center"/>
        </w:trPr>
        <w:tc>
          <w:tcPr>
            <w:tcW w:w="2802" w:type="dxa"/>
            <w:shd w:val="clear" w:color="auto" w:fill="auto"/>
          </w:tcPr>
          <w:p w:rsidR="00653157" w:rsidRPr="00740C4E" w:rsidRDefault="00653157" w:rsidP="00A7155E">
            <w:pPr>
              <w:jc w:val="both"/>
            </w:pPr>
            <w:r>
              <w:t>Дотации, в том числе:</w:t>
            </w:r>
          </w:p>
        </w:tc>
        <w:tc>
          <w:tcPr>
            <w:tcW w:w="1559" w:type="dxa"/>
            <w:shd w:val="clear" w:color="auto" w:fill="auto"/>
            <w:vAlign w:val="bottom"/>
          </w:tcPr>
          <w:p w:rsidR="00653157" w:rsidRDefault="002C7B0E" w:rsidP="00A7155E">
            <w:pPr>
              <w:jc w:val="right"/>
            </w:pPr>
            <w:r>
              <w:t>265 079,8</w:t>
            </w:r>
          </w:p>
        </w:tc>
        <w:tc>
          <w:tcPr>
            <w:tcW w:w="1843" w:type="dxa"/>
            <w:shd w:val="clear" w:color="auto" w:fill="auto"/>
            <w:vAlign w:val="bottom"/>
          </w:tcPr>
          <w:p w:rsidR="00653157" w:rsidRPr="002A168A" w:rsidRDefault="009A45F2" w:rsidP="00A7155E">
            <w:pPr>
              <w:jc w:val="right"/>
            </w:pPr>
            <w:r>
              <w:t>125 411,2</w:t>
            </w:r>
          </w:p>
        </w:tc>
        <w:tc>
          <w:tcPr>
            <w:tcW w:w="1417" w:type="dxa"/>
            <w:shd w:val="clear" w:color="auto" w:fill="auto"/>
            <w:vAlign w:val="bottom"/>
          </w:tcPr>
          <w:p w:rsidR="00653157" w:rsidRDefault="00A83880" w:rsidP="00A7155E">
            <w:pPr>
              <w:jc w:val="right"/>
            </w:pPr>
            <w:r w:rsidRPr="00A83880">
              <w:t>165 898,6</w:t>
            </w:r>
          </w:p>
        </w:tc>
        <w:tc>
          <w:tcPr>
            <w:tcW w:w="1418" w:type="dxa"/>
            <w:shd w:val="clear" w:color="auto" w:fill="auto"/>
            <w:vAlign w:val="bottom"/>
          </w:tcPr>
          <w:p w:rsidR="00653157" w:rsidRPr="00740C4E" w:rsidRDefault="00BD52A8" w:rsidP="00A7155E">
            <w:pPr>
              <w:jc w:val="center"/>
            </w:pPr>
            <w:r>
              <w:t>62,6</w:t>
            </w:r>
          </w:p>
        </w:tc>
        <w:tc>
          <w:tcPr>
            <w:tcW w:w="1665" w:type="dxa"/>
            <w:shd w:val="clear" w:color="auto" w:fill="auto"/>
            <w:vAlign w:val="bottom"/>
          </w:tcPr>
          <w:p w:rsidR="00653157" w:rsidRPr="00740C4E" w:rsidRDefault="00BD52A8" w:rsidP="00A7155E">
            <w:pPr>
              <w:ind w:firstLine="709"/>
            </w:pPr>
            <w:r>
              <w:t>132,3</w:t>
            </w:r>
          </w:p>
        </w:tc>
      </w:tr>
      <w:tr w:rsidR="00653157" w:rsidRPr="00740C4E" w:rsidTr="00A83880">
        <w:trPr>
          <w:jc w:val="center"/>
        </w:trPr>
        <w:tc>
          <w:tcPr>
            <w:tcW w:w="2802" w:type="dxa"/>
            <w:shd w:val="clear" w:color="auto" w:fill="auto"/>
          </w:tcPr>
          <w:p w:rsidR="00653157" w:rsidRPr="00101631" w:rsidRDefault="00CF2E03" w:rsidP="00CF2E03">
            <w:pPr>
              <w:jc w:val="both"/>
              <w:rPr>
                <w:i/>
              </w:rPr>
            </w:pPr>
            <w:r w:rsidRPr="00101631">
              <w:rPr>
                <w:i/>
              </w:rPr>
              <w:t>на выравнивание бюджетной обеспеченности городских округов</w:t>
            </w:r>
          </w:p>
        </w:tc>
        <w:tc>
          <w:tcPr>
            <w:tcW w:w="1559" w:type="dxa"/>
            <w:shd w:val="clear" w:color="auto" w:fill="auto"/>
            <w:vAlign w:val="bottom"/>
          </w:tcPr>
          <w:p w:rsidR="00653157" w:rsidRDefault="002C7B0E" w:rsidP="00A7155E">
            <w:pPr>
              <w:jc w:val="right"/>
            </w:pPr>
            <w:r>
              <w:t>120 538,5</w:t>
            </w:r>
          </w:p>
        </w:tc>
        <w:tc>
          <w:tcPr>
            <w:tcW w:w="1843" w:type="dxa"/>
            <w:shd w:val="clear" w:color="auto" w:fill="auto"/>
            <w:vAlign w:val="bottom"/>
          </w:tcPr>
          <w:p w:rsidR="00653157" w:rsidRPr="002A168A" w:rsidRDefault="009A45F2" w:rsidP="00185246">
            <w:pPr>
              <w:jc w:val="right"/>
            </w:pPr>
            <w:r>
              <w:t>125 411,2</w:t>
            </w:r>
          </w:p>
        </w:tc>
        <w:tc>
          <w:tcPr>
            <w:tcW w:w="1417" w:type="dxa"/>
            <w:shd w:val="clear" w:color="auto" w:fill="auto"/>
            <w:vAlign w:val="bottom"/>
          </w:tcPr>
          <w:p w:rsidR="00653157" w:rsidRDefault="00685080" w:rsidP="00A7155E">
            <w:pPr>
              <w:jc w:val="right"/>
            </w:pPr>
            <w:r>
              <w:t>125 411,2</w:t>
            </w:r>
          </w:p>
        </w:tc>
        <w:tc>
          <w:tcPr>
            <w:tcW w:w="1418" w:type="dxa"/>
            <w:shd w:val="clear" w:color="auto" w:fill="auto"/>
            <w:vAlign w:val="bottom"/>
          </w:tcPr>
          <w:p w:rsidR="00653157" w:rsidRPr="00740C4E" w:rsidRDefault="00BD52A8" w:rsidP="00A7155E">
            <w:pPr>
              <w:jc w:val="center"/>
            </w:pPr>
            <w:r>
              <w:t>104,0</w:t>
            </w:r>
          </w:p>
        </w:tc>
        <w:tc>
          <w:tcPr>
            <w:tcW w:w="1665" w:type="dxa"/>
            <w:shd w:val="clear" w:color="auto" w:fill="auto"/>
            <w:vAlign w:val="bottom"/>
          </w:tcPr>
          <w:p w:rsidR="00653157" w:rsidRPr="00740C4E" w:rsidRDefault="0050604C" w:rsidP="00A7155E">
            <w:pPr>
              <w:ind w:firstLine="709"/>
            </w:pPr>
            <w:r>
              <w:t>100,0</w:t>
            </w:r>
          </w:p>
        </w:tc>
      </w:tr>
      <w:tr w:rsidR="00653157" w:rsidRPr="00740C4E" w:rsidTr="00A83880">
        <w:trPr>
          <w:jc w:val="center"/>
        </w:trPr>
        <w:tc>
          <w:tcPr>
            <w:tcW w:w="2802" w:type="dxa"/>
            <w:shd w:val="clear" w:color="auto" w:fill="auto"/>
          </w:tcPr>
          <w:p w:rsidR="00653157" w:rsidRPr="00101631" w:rsidRDefault="00CF2E03" w:rsidP="00A7155E">
            <w:pPr>
              <w:jc w:val="both"/>
              <w:rPr>
                <w:i/>
              </w:rPr>
            </w:pPr>
            <w:r w:rsidRPr="00101631">
              <w:rPr>
                <w:i/>
              </w:rPr>
              <w:t>на компенсацию выпадающих доходов по ЕНВД</w:t>
            </w:r>
          </w:p>
        </w:tc>
        <w:tc>
          <w:tcPr>
            <w:tcW w:w="1559" w:type="dxa"/>
            <w:shd w:val="clear" w:color="auto" w:fill="auto"/>
            <w:vAlign w:val="bottom"/>
          </w:tcPr>
          <w:p w:rsidR="00653157" w:rsidRDefault="00BD46F3" w:rsidP="00A7155E">
            <w:pPr>
              <w:jc w:val="right"/>
            </w:pPr>
            <w:r>
              <w:t>144 541,3</w:t>
            </w:r>
          </w:p>
        </w:tc>
        <w:tc>
          <w:tcPr>
            <w:tcW w:w="1843" w:type="dxa"/>
            <w:shd w:val="clear" w:color="auto" w:fill="auto"/>
            <w:vAlign w:val="bottom"/>
          </w:tcPr>
          <w:p w:rsidR="00653157" w:rsidRPr="002A168A" w:rsidRDefault="00653157" w:rsidP="00A7155E">
            <w:pPr>
              <w:jc w:val="right"/>
            </w:pPr>
          </w:p>
        </w:tc>
        <w:tc>
          <w:tcPr>
            <w:tcW w:w="1417" w:type="dxa"/>
            <w:shd w:val="clear" w:color="auto" w:fill="auto"/>
            <w:vAlign w:val="bottom"/>
          </w:tcPr>
          <w:p w:rsidR="00653157" w:rsidRDefault="00653157" w:rsidP="00A7155E">
            <w:pPr>
              <w:jc w:val="right"/>
            </w:pPr>
          </w:p>
        </w:tc>
        <w:tc>
          <w:tcPr>
            <w:tcW w:w="1418" w:type="dxa"/>
            <w:shd w:val="clear" w:color="auto" w:fill="auto"/>
            <w:vAlign w:val="bottom"/>
          </w:tcPr>
          <w:p w:rsidR="00653157" w:rsidRPr="00740C4E" w:rsidRDefault="00BD52A8" w:rsidP="00A7155E">
            <w:pPr>
              <w:jc w:val="center"/>
            </w:pPr>
            <w:r>
              <w:t>-</w:t>
            </w:r>
          </w:p>
        </w:tc>
        <w:tc>
          <w:tcPr>
            <w:tcW w:w="1665" w:type="dxa"/>
            <w:shd w:val="clear" w:color="auto" w:fill="auto"/>
            <w:vAlign w:val="bottom"/>
          </w:tcPr>
          <w:p w:rsidR="00653157" w:rsidRPr="00740C4E" w:rsidRDefault="00BD52A8" w:rsidP="00A7155E">
            <w:pPr>
              <w:ind w:firstLine="709"/>
            </w:pPr>
            <w:r>
              <w:t>-</w:t>
            </w:r>
          </w:p>
        </w:tc>
      </w:tr>
      <w:tr w:rsidR="002C7B0E" w:rsidRPr="00740C4E" w:rsidTr="00A83880">
        <w:trPr>
          <w:jc w:val="center"/>
        </w:trPr>
        <w:tc>
          <w:tcPr>
            <w:tcW w:w="2802" w:type="dxa"/>
            <w:shd w:val="clear" w:color="auto" w:fill="auto"/>
          </w:tcPr>
          <w:p w:rsidR="002C7B0E" w:rsidRPr="00101631" w:rsidRDefault="00A83880" w:rsidP="00A7155E">
            <w:pPr>
              <w:jc w:val="both"/>
              <w:rPr>
                <w:i/>
              </w:rPr>
            </w:pPr>
            <w:r w:rsidRPr="00A83880">
              <w:rPr>
                <w:i/>
              </w:rPr>
              <w:t>на сбалансированность бюджетов муниципальных районов, муниципальных округов, городских округов Пермского края</w:t>
            </w:r>
          </w:p>
        </w:tc>
        <w:tc>
          <w:tcPr>
            <w:tcW w:w="1559" w:type="dxa"/>
            <w:shd w:val="clear" w:color="auto" w:fill="auto"/>
            <w:vAlign w:val="bottom"/>
          </w:tcPr>
          <w:p w:rsidR="002C7B0E" w:rsidRDefault="002C7B0E" w:rsidP="00A7155E">
            <w:pPr>
              <w:jc w:val="right"/>
            </w:pPr>
          </w:p>
        </w:tc>
        <w:tc>
          <w:tcPr>
            <w:tcW w:w="1843" w:type="dxa"/>
            <w:shd w:val="clear" w:color="auto" w:fill="auto"/>
            <w:vAlign w:val="bottom"/>
          </w:tcPr>
          <w:p w:rsidR="002C7B0E" w:rsidRPr="002A168A" w:rsidRDefault="002C7B0E" w:rsidP="00A7155E">
            <w:pPr>
              <w:jc w:val="right"/>
            </w:pPr>
          </w:p>
        </w:tc>
        <w:tc>
          <w:tcPr>
            <w:tcW w:w="1417" w:type="dxa"/>
            <w:shd w:val="clear" w:color="auto" w:fill="auto"/>
            <w:vAlign w:val="bottom"/>
          </w:tcPr>
          <w:p w:rsidR="002C7B0E" w:rsidRDefault="00685080" w:rsidP="00A7155E">
            <w:pPr>
              <w:jc w:val="right"/>
            </w:pPr>
            <w:r>
              <w:t>40 487,4</w:t>
            </w:r>
          </w:p>
        </w:tc>
        <w:tc>
          <w:tcPr>
            <w:tcW w:w="1418" w:type="dxa"/>
            <w:shd w:val="clear" w:color="auto" w:fill="auto"/>
            <w:vAlign w:val="bottom"/>
          </w:tcPr>
          <w:p w:rsidR="002C7B0E" w:rsidRPr="00740C4E" w:rsidRDefault="00BD52A8" w:rsidP="00A7155E">
            <w:pPr>
              <w:jc w:val="center"/>
            </w:pPr>
            <w:r>
              <w:t>-</w:t>
            </w:r>
          </w:p>
        </w:tc>
        <w:tc>
          <w:tcPr>
            <w:tcW w:w="1665" w:type="dxa"/>
            <w:shd w:val="clear" w:color="auto" w:fill="auto"/>
            <w:vAlign w:val="bottom"/>
          </w:tcPr>
          <w:p w:rsidR="002C7B0E" w:rsidRPr="00740C4E" w:rsidRDefault="00BD52A8" w:rsidP="00A7155E">
            <w:pPr>
              <w:ind w:firstLine="709"/>
            </w:pPr>
            <w:r>
              <w:t>-</w:t>
            </w:r>
          </w:p>
        </w:tc>
      </w:tr>
      <w:tr w:rsidR="00A7155E" w:rsidRPr="002D5192" w:rsidTr="00A83880">
        <w:trPr>
          <w:jc w:val="center"/>
        </w:trPr>
        <w:tc>
          <w:tcPr>
            <w:tcW w:w="2802" w:type="dxa"/>
            <w:shd w:val="clear" w:color="auto" w:fill="auto"/>
          </w:tcPr>
          <w:p w:rsidR="00A7155E" w:rsidRPr="002D5192" w:rsidRDefault="00A7155E" w:rsidP="00A7155E">
            <w:pPr>
              <w:jc w:val="both"/>
              <w:rPr>
                <w:b/>
              </w:rPr>
            </w:pPr>
            <w:r w:rsidRPr="002D5192">
              <w:rPr>
                <w:b/>
              </w:rPr>
              <w:t>Всего доходов</w:t>
            </w:r>
          </w:p>
        </w:tc>
        <w:tc>
          <w:tcPr>
            <w:tcW w:w="1559" w:type="dxa"/>
            <w:shd w:val="clear" w:color="auto" w:fill="auto"/>
            <w:vAlign w:val="center"/>
          </w:tcPr>
          <w:p w:rsidR="00A7155E" w:rsidRPr="00CD4B65" w:rsidRDefault="002C7B0E" w:rsidP="00A7155E">
            <w:pPr>
              <w:jc w:val="right"/>
              <w:rPr>
                <w:b/>
              </w:rPr>
            </w:pPr>
            <w:r>
              <w:rPr>
                <w:b/>
              </w:rPr>
              <w:t>3 685 370,5</w:t>
            </w:r>
          </w:p>
        </w:tc>
        <w:tc>
          <w:tcPr>
            <w:tcW w:w="1843" w:type="dxa"/>
            <w:shd w:val="clear" w:color="auto" w:fill="auto"/>
            <w:vAlign w:val="bottom"/>
          </w:tcPr>
          <w:p w:rsidR="00A7155E" w:rsidRPr="002A168A" w:rsidRDefault="00B5337E" w:rsidP="00A7155E">
            <w:pPr>
              <w:jc w:val="right"/>
              <w:rPr>
                <w:b/>
              </w:rPr>
            </w:pPr>
            <w:r>
              <w:rPr>
                <w:b/>
              </w:rPr>
              <w:t>3 544 918,9</w:t>
            </w:r>
          </w:p>
        </w:tc>
        <w:tc>
          <w:tcPr>
            <w:tcW w:w="1417" w:type="dxa"/>
            <w:shd w:val="clear" w:color="auto" w:fill="auto"/>
            <w:vAlign w:val="bottom"/>
          </w:tcPr>
          <w:p w:rsidR="00A7155E" w:rsidRPr="005E24F8" w:rsidRDefault="00685080" w:rsidP="00A7155E">
            <w:pPr>
              <w:jc w:val="right"/>
              <w:rPr>
                <w:b/>
              </w:rPr>
            </w:pPr>
            <w:r>
              <w:rPr>
                <w:b/>
              </w:rPr>
              <w:t>3 701 839,9</w:t>
            </w:r>
          </w:p>
        </w:tc>
        <w:tc>
          <w:tcPr>
            <w:tcW w:w="1418" w:type="dxa"/>
            <w:shd w:val="clear" w:color="auto" w:fill="auto"/>
            <w:vAlign w:val="center"/>
          </w:tcPr>
          <w:p w:rsidR="00A7155E" w:rsidRPr="002D5192" w:rsidRDefault="00BD52A8" w:rsidP="00A7155E">
            <w:pPr>
              <w:jc w:val="center"/>
              <w:rPr>
                <w:b/>
              </w:rPr>
            </w:pPr>
            <w:r>
              <w:rPr>
                <w:b/>
              </w:rPr>
              <w:t>100,4</w:t>
            </w:r>
          </w:p>
        </w:tc>
        <w:tc>
          <w:tcPr>
            <w:tcW w:w="1665" w:type="dxa"/>
            <w:shd w:val="clear" w:color="auto" w:fill="auto"/>
            <w:vAlign w:val="center"/>
          </w:tcPr>
          <w:p w:rsidR="00A7155E" w:rsidRPr="002D5192" w:rsidRDefault="00BD52A8" w:rsidP="00A7155E">
            <w:pPr>
              <w:ind w:firstLine="709"/>
              <w:rPr>
                <w:b/>
              </w:rPr>
            </w:pPr>
            <w:r>
              <w:rPr>
                <w:b/>
              </w:rPr>
              <w:t>104,4</w:t>
            </w:r>
          </w:p>
        </w:tc>
      </w:tr>
    </w:tbl>
    <w:p w:rsidR="00A54686" w:rsidRDefault="00573408" w:rsidP="00CD219D">
      <w:pPr>
        <w:spacing w:line="360" w:lineRule="exact"/>
        <w:ind w:firstLine="709"/>
        <w:jc w:val="both"/>
        <w:rPr>
          <w:sz w:val="28"/>
          <w:szCs w:val="28"/>
        </w:rPr>
      </w:pPr>
      <w:r w:rsidRPr="00573408">
        <w:rPr>
          <w:sz w:val="28"/>
          <w:szCs w:val="28"/>
        </w:rPr>
        <w:t>Рост общего объема доходов относительно утвержденных параметров на 20</w:t>
      </w:r>
      <w:r w:rsidR="00A2649F">
        <w:rPr>
          <w:sz w:val="28"/>
          <w:szCs w:val="28"/>
        </w:rPr>
        <w:t>2</w:t>
      </w:r>
      <w:r w:rsidR="00BD52A8">
        <w:rPr>
          <w:sz w:val="28"/>
          <w:szCs w:val="28"/>
        </w:rPr>
        <w:t>1</w:t>
      </w:r>
      <w:r w:rsidRPr="00573408">
        <w:rPr>
          <w:sz w:val="28"/>
          <w:szCs w:val="28"/>
        </w:rPr>
        <w:t xml:space="preserve"> год –  запланирован с увеличением на </w:t>
      </w:r>
      <w:r w:rsidR="00BD52A8">
        <w:rPr>
          <w:sz w:val="28"/>
          <w:szCs w:val="28"/>
        </w:rPr>
        <w:t>4,4</w:t>
      </w:r>
      <w:r w:rsidRPr="00573408">
        <w:rPr>
          <w:sz w:val="28"/>
          <w:szCs w:val="28"/>
        </w:rPr>
        <w:t xml:space="preserve"> %.</w:t>
      </w:r>
    </w:p>
    <w:p w:rsidR="00F071FC" w:rsidRDefault="005833AF" w:rsidP="00CD219D">
      <w:pPr>
        <w:spacing w:line="360" w:lineRule="exact"/>
        <w:ind w:firstLine="709"/>
        <w:jc w:val="both"/>
        <w:rPr>
          <w:sz w:val="28"/>
          <w:szCs w:val="28"/>
        </w:rPr>
      </w:pPr>
      <w:r>
        <w:rPr>
          <w:sz w:val="28"/>
          <w:szCs w:val="28"/>
        </w:rPr>
        <w:t xml:space="preserve"> </w:t>
      </w:r>
      <w:r w:rsidR="00CD219D">
        <w:rPr>
          <w:sz w:val="28"/>
          <w:szCs w:val="28"/>
        </w:rPr>
        <w:t xml:space="preserve"> </w:t>
      </w:r>
    </w:p>
    <w:p w:rsidR="00DB5143" w:rsidRDefault="00DB5143" w:rsidP="00DB5143">
      <w:pPr>
        <w:ind w:firstLine="709"/>
        <w:rPr>
          <w:sz w:val="28"/>
          <w:szCs w:val="28"/>
        </w:rPr>
      </w:pPr>
      <w:r w:rsidRPr="000C2F0A">
        <w:rPr>
          <w:b/>
          <w:sz w:val="28"/>
          <w:szCs w:val="28"/>
        </w:rPr>
        <w:t>Н</w:t>
      </w:r>
      <w:r w:rsidRPr="00740C4E">
        <w:rPr>
          <w:b/>
          <w:sz w:val="28"/>
          <w:szCs w:val="28"/>
        </w:rPr>
        <w:t>алоговые</w:t>
      </w:r>
      <w:r>
        <w:rPr>
          <w:b/>
          <w:sz w:val="28"/>
          <w:szCs w:val="28"/>
        </w:rPr>
        <w:t xml:space="preserve"> </w:t>
      </w:r>
      <w:r w:rsidRPr="00740C4E">
        <w:rPr>
          <w:b/>
          <w:sz w:val="28"/>
          <w:szCs w:val="28"/>
        </w:rPr>
        <w:t>доходы</w:t>
      </w:r>
      <w:r>
        <w:rPr>
          <w:sz w:val="28"/>
          <w:szCs w:val="28"/>
        </w:rPr>
        <w:t xml:space="preserve"> </w:t>
      </w:r>
    </w:p>
    <w:p w:rsidR="00DB5143" w:rsidRPr="00D3625D" w:rsidRDefault="00DB5143" w:rsidP="00DB5143">
      <w:pPr>
        <w:ind w:firstLine="709"/>
        <w:jc w:val="right"/>
        <w:rPr>
          <w:b/>
          <w:sz w:val="28"/>
          <w:szCs w:val="28"/>
        </w:rPr>
      </w:pPr>
      <w:r w:rsidRPr="00D77BE8">
        <w:rPr>
          <w:i/>
          <w:sz w:val="22"/>
          <w:szCs w:val="22"/>
        </w:rPr>
        <w:t>млн. руб.</w:t>
      </w:r>
      <w:r>
        <w:rPr>
          <w:b/>
          <w:sz w:val="28"/>
          <w:szCs w:val="28"/>
        </w:rPr>
        <w:t xml:space="preserve"> </w:t>
      </w:r>
      <w:r>
        <w:rPr>
          <w:noProof/>
        </w:rPr>
        <w:drawing>
          <wp:inline distT="0" distB="0" distL="0" distR="0" wp14:anchorId="5CB9387C" wp14:editId="48B8E3CF">
            <wp:extent cx="6153150" cy="2867025"/>
            <wp:effectExtent l="0" t="0" r="19050" b="952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B5143" w:rsidRDefault="00DB5143" w:rsidP="00F46F2E">
      <w:pPr>
        <w:spacing w:line="360" w:lineRule="exact"/>
        <w:ind w:firstLine="709"/>
        <w:jc w:val="both"/>
        <w:rPr>
          <w:sz w:val="28"/>
          <w:szCs w:val="28"/>
        </w:rPr>
      </w:pPr>
      <w:r>
        <w:rPr>
          <w:sz w:val="28"/>
          <w:szCs w:val="28"/>
        </w:rPr>
        <w:lastRenderedPageBreak/>
        <w:t xml:space="preserve">Наибольший удельный вес </w:t>
      </w:r>
      <w:r w:rsidRPr="00D2518E">
        <w:rPr>
          <w:sz w:val="28"/>
          <w:szCs w:val="28"/>
        </w:rPr>
        <w:t xml:space="preserve">в общем объеме налоговых доходов в проекте </w:t>
      </w:r>
      <w:r w:rsidR="00CF0410">
        <w:rPr>
          <w:sz w:val="28"/>
          <w:szCs w:val="28"/>
        </w:rPr>
        <w:t xml:space="preserve">бюджета </w:t>
      </w:r>
      <w:r w:rsidRPr="00D2518E">
        <w:rPr>
          <w:sz w:val="28"/>
          <w:szCs w:val="28"/>
        </w:rPr>
        <w:t>на 20</w:t>
      </w:r>
      <w:r w:rsidR="00E748D7">
        <w:rPr>
          <w:sz w:val="28"/>
          <w:szCs w:val="28"/>
        </w:rPr>
        <w:t>2</w:t>
      </w:r>
      <w:r w:rsidR="00217823">
        <w:rPr>
          <w:sz w:val="28"/>
          <w:szCs w:val="28"/>
        </w:rPr>
        <w:t>1</w:t>
      </w:r>
      <w:r w:rsidRPr="00D2518E">
        <w:rPr>
          <w:sz w:val="28"/>
          <w:szCs w:val="28"/>
        </w:rPr>
        <w:t xml:space="preserve"> г.</w:t>
      </w:r>
      <w:r>
        <w:rPr>
          <w:sz w:val="28"/>
          <w:szCs w:val="28"/>
        </w:rPr>
        <w:t xml:space="preserve"> традиционно составляет </w:t>
      </w:r>
      <w:r w:rsidRPr="00D2518E">
        <w:rPr>
          <w:b/>
          <w:sz w:val="28"/>
          <w:szCs w:val="28"/>
        </w:rPr>
        <w:t>н</w:t>
      </w:r>
      <w:r w:rsidRPr="00740C4E">
        <w:rPr>
          <w:b/>
          <w:sz w:val="28"/>
          <w:szCs w:val="28"/>
        </w:rPr>
        <w:t>алог на доходы физических</w:t>
      </w:r>
      <w:r w:rsidRPr="00740C4E">
        <w:rPr>
          <w:sz w:val="28"/>
          <w:szCs w:val="28"/>
        </w:rPr>
        <w:t xml:space="preserve"> </w:t>
      </w:r>
      <w:r w:rsidRPr="00D2518E">
        <w:rPr>
          <w:b/>
          <w:sz w:val="28"/>
          <w:szCs w:val="28"/>
        </w:rPr>
        <w:t>лиц</w:t>
      </w:r>
      <w:r w:rsidRPr="00740C4E">
        <w:rPr>
          <w:sz w:val="28"/>
          <w:szCs w:val="28"/>
        </w:rPr>
        <w:t xml:space="preserve"> </w:t>
      </w:r>
      <w:r>
        <w:rPr>
          <w:sz w:val="28"/>
          <w:szCs w:val="28"/>
        </w:rPr>
        <w:t>–</w:t>
      </w:r>
      <w:r w:rsidRPr="00740C4E">
        <w:rPr>
          <w:sz w:val="28"/>
          <w:szCs w:val="28"/>
        </w:rPr>
        <w:t xml:space="preserve"> </w:t>
      </w:r>
      <w:r w:rsidR="00217823">
        <w:rPr>
          <w:sz w:val="28"/>
          <w:szCs w:val="28"/>
        </w:rPr>
        <w:t>69,7</w:t>
      </w:r>
      <w:r w:rsidRPr="00740C4E">
        <w:rPr>
          <w:sz w:val="28"/>
          <w:szCs w:val="28"/>
        </w:rPr>
        <w:t>%</w:t>
      </w:r>
      <w:r w:rsidR="003031F6">
        <w:rPr>
          <w:sz w:val="28"/>
          <w:szCs w:val="28"/>
        </w:rPr>
        <w:t xml:space="preserve">, налоги на имущество – </w:t>
      </w:r>
      <w:r w:rsidR="00217823">
        <w:rPr>
          <w:sz w:val="28"/>
          <w:szCs w:val="28"/>
        </w:rPr>
        <w:t>26,7</w:t>
      </w:r>
      <w:r w:rsidR="003031F6">
        <w:rPr>
          <w:sz w:val="28"/>
          <w:szCs w:val="28"/>
        </w:rPr>
        <w:t xml:space="preserve"> %.</w:t>
      </w:r>
      <w:r w:rsidRPr="00740C4E">
        <w:rPr>
          <w:sz w:val="28"/>
          <w:szCs w:val="28"/>
        </w:rPr>
        <w:t xml:space="preserve"> </w:t>
      </w:r>
    </w:p>
    <w:p w:rsidR="00C152B0" w:rsidRDefault="009412D4" w:rsidP="00C152B0">
      <w:pPr>
        <w:spacing w:line="360" w:lineRule="exact"/>
        <w:ind w:firstLine="709"/>
        <w:jc w:val="both"/>
        <w:rPr>
          <w:sz w:val="28"/>
          <w:szCs w:val="28"/>
        </w:rPr>
      </w:pPr>
      <w:r>
        <w:rPr>
          <w:sz w:val="28"/>
          <w:szCs w:val="28"/>
        </w:rPr>
        <w:t>Уменьшение</w:t>
      </w:r>
      <w:r w:rsidR="001075AB" w:rsidRPr="00B04B10">
        <w:rPr>
          <w:sz w:val="28"/>
          <w:szCs w:val="28"/>
        </w:rPr>
        <w:t xml:space="preserve"> </w:t>
      </w:r>
      <w:r w:rsidR="00CB5A10">
        <w:rPr>
          <w:sz w:val="28"/>
          <w:szCs w:val="28"/>
        </w:rPr>
        <w:t xml:space="preserve">плановых </w:t>
      </w:r>
      <w:r w:rsidR="001075AB" w:rsidRPr="00B04B10">
        <w:rPr>
          <w:sz w:val="28"/>
          <w:szCs w:val="28"/>
        </w:rPr>
        <w:t>поступлений по НДФЛ в 20</w:t>
      </w:r>
      <w:r w:rsidR="00E748D7">
        <w:rPr>
          <w:sz w:val="28"/>
          <w:szCs w:val="28"/>
        </w:rPr>
        <w:t>2</w:t>
      </w:r>
      <w:r>
        <w:rPr>
          <w:sz w:val="28"/>
          <w:szCs w:val="28"/>
        </w:rPr>
        <w:t>1</w:t>
      </w:r>
      <w:r w:rsidR="001075AB" w:rsidRPr="00B04B10">
        <w:rPr>
          <w:sz w:val="28"/>
          <w:szCs w:val="28"/>
        </w:rPr>
        <w:t xml:space="preserve"> г. </w:t>
      </w:r>
      <w:proofErr w:type="gramStart"/>
      <w:r w:rsidR="001075AB" w:rsidRPr="00B04B10">
        <w:rPr>
          <w:sz w:val="28"/>
          <w:szCs w:val="28"/>
        </w:rPr>
        <w:t>к</w:t>
      </w:r>
      <w:proofErr w:type="gramEnd"/>
      <w:r w:rsidR="001075AB" w:rsidRPr="00B04B10">
        <w:rPr>
          <w:sz w:val="28"/>
          <w:szCs w:val="28"/>
        </w:rPr>
        <w:t xml:space="preserve"> </w:t>
      </w:r>
      <w:r w:rsidR="007C27C7">
        <w:rPr>
          <w:sz w:val="28"/>
          <w:szCs w:val="28"/>
        </w:rPr>
        <w:t xml:space="preserve">ранее утвержденным </w:t>
      </w:r>
      <w:r w:rsidR="003E54ED">
        <w:rPr>
          <w:sz w:val="28"/>
          <w:szCs w:val="28"/>
        </w:rPr>
        <w:t xml:space="preserve">основано на анализе </w:t>
      </w:r>
      <w:r w:rsidR="00C152B0">
        <w:rPr>
          <w:sz w:val="28"/>
          <w:szCs w:val="28"/>
        </w:rPr>
        <w:t>ожидаемой оценк</w:t>
      </w:r>
      <w:r w:rsidR="00F529E8">
        <w:rPr>
          <w:sz w:val="28"/>
          <w:szCs w:val="28"/>
        </w:rPr>
        <w:t>и</w:t>
      </w:r>
      <w:r w:rsidR="00C152B0">
        <w:rPr>
          <w:sz w:val="28"/>
          <w:szCs w:val="28"/>
        </w:rPr>
        <w:t xml:space="preserve"> поступлений за 2020 г., а также </w:t>
      </w:r>
      <w:r w:rsidR="003E54ED">
        <w:rPr>
          <w:sz w:val="28"/>
          <w:szCs w:val="28"/>
        </w:rPr>
        <w:t xml:space="preserve">на </w:t>
      </w:r>
      <w:r w:rsidR="00C152B0" w:rsidRPr="00C152B0">
        <w:rPr>
          <w:sz w:val="28"/>
          <w:szCs w:val="28"/>
        </w:rPr>
        <w:t>прогноз</w:t>
      </w:r>
      <w:r w:rsidR="003E54ED">
        <w:rPr>
          <w:sz w:val="28"/>
          <w:szCs w:val="28"/>
        </w:rPr>
        <w:t>е</w:t>
      </w:r>
      <w:r w:rsidR="00C152B0" w:rsidRPr="00C152B0">
        <w:rPr>
          <w:sz w:val="28"/>
          <w:szCs w:val="28"/>
        </w:rPr>
        <w:t xml:space="preserve"> фонд</w:t>
      </w:r>
      <w:r w:rsidR="003E54ED">
        <w:rPr>
          <w:sz w:val="28"/>
          <w:szCs w:val="28"/>
        </w:rPr>
        <w:t>а</w:t>
      </w:r>
      <w:r w:rsidR="00C152B0">
        <w:rPr>
          <w:sz w:val="28"/>
          <w:szCs w:val="28"/>
        </w:rPr>
        <w:t xml:space="preserve"> </w:t>
      </w:r>
      <w:r w:rsidR="00C152B0" w:rsidRPr="00C152B0">
        <w:rPr>
          <w:sz w:val="28"/>
          <w:szCs w:val="28"/>
        </w:rPr>
        <w:t>заработной платы работников крупных и средних предприятий, организаций с учетом социально-экономического развития</w:t>
      </w:r>
      <w:r w:rsidR="003E54ED">
        <w:rPr>
          <w:sz w:val="28"/>
          <w:szCs w:val="28"/>
        </w:rPr>
        <w:t xml:space="preserve"> СГО</w:t>
      </w:r>
      <w:r w:rsidR="00C152B0">
        <w:rPr>
          <w:sz w:val="28"/>
          <w:szCs w:val="28"/>
        </w:rPr>
        <w:t>.</w:t>
      </w:r>
      <w:r w:rsidR="00DB5143">
        <w:rPr>
          <w:sz w:val="28"/>
          <w:szCs w:val="28"/>
        </w:rPr>
        <w:tab/>
      </w:r>
    </w:p>
    <w:p w:rsidR="002925B2" w:rsidRDefault="003031F6" w:rsidP="002925B2">
      <w:pPr>
        <w:spacing w:line="360" w:lineRule="exact"/>
        <w:ind w:firstLine="709"/>
        <w:jc w:val="both"/>
        <w:rPr>
          <w:sz w:val="28"/>
          <w:szCs w:val="28"/>
        </w:rPr>
      </w:pPr>
      <w:r>
        <w:rPr>
          <w:sz w:val="28"/>
          <w:szCs w:val="28"/>
        </w:rPr>
        <w:t>При расчете</w:t>
      </w:r>
      <w:r w:rsidR="00DB5143">
        <w:rPr>
          <w:sz w:val="28"/>
          <w:szCs w:val="28"/>
        </w:rPr>
        <w:t xml:space="preserve"> плановы</w:t>
      </w:r>
      <w:r>
        <w:rPr>
          <w:sz w:val="28"/>
          <w:szCs w:val="28"/>
        </w:rPr>
        <w:t>х</w:t>
      </w:r>
      <w:r w:rsidR="00DB5143">
        <w:rPr>
          <w:sz w:val="28"/>
          <w:szCs w:val="28"/>
        </w:rPr>
        <w:t xml:space="preserve"> поступлени</w:t>
      </w:r>
      <w:r>
        <w:rPr>
          <w:sz w:val="28"/>
          <w:szCs w:val="28"/>
        </w:rPr>
        <w:t>й</w:t>
      </w:r>
      <w:r w:rsidR="00DB5143">
        <w:rPr>
          <w:sz w:val="28"/>
          <w:szCs w:val="28"/>
        </w:rPr>
        <w:t xml:space="preserve"> по </w:t>
      </w:r>
      <w:r w:rsidR="00DB5143" w:rsidRPr="001658AB">
        <w:rPr>
          <w:b/>
          <w:sz w:val="28"/>
          <w:szCs w:val="28"/>
        </w:rPr>
        <w:t>«акциз</w:t>
      </w:r>
      <w:r w:rsidR="00DB5143">
        <w:rPr>
          <w:b/>
          <w:sz w:val="28"/>
          <w:szCs w:val="28"/>
        </w:rPr>
        <w:t>ам</w:t>
      </w:r>
      <w:r w:rsidR="00DB5143" w:rsidRPr="001658AB">
        <w:rPr>
          <w:b/>
          <w:sz w:val="28"/>
          <w:szCs w:val="28"/>
        </w:rPr>
        <w:t xml:space="preserve"> по подакцизным товарам (продукции), производимым на территории Российской Федерации»</w:t>
      </w:r>
      <w:r w:rsidRPr="003031F6">
        <w:t xml:space="preserve"> </w:t>
      </w:r>
      <w:r w:rsidR="00E206A5">
        <w:rPr>
          <w:sz w:val="28"/>
          <w:szCs w:val="28"/>
        </w:rPr>
        <w:t>учтено и</w:t>
      </w:r>
      <w:r w:rsidR="0061503C" w:rsidRPr="001E2445">
        <w:rPr>
          <w:sz w:val="28"/>
          <w:szCs w:val="28"/>
        </w:rPr>
        <w:t xml:space="preserve">зменение </w:t>
      </w:r>
      <w:r w:rsidRPr="001E2445">
        <w:rPr>
          <w:sz w:val="28"/>
          <w:szCs w:val="28"/>
        </w:rPr>
        <w:t xml:space="preserve"> </w:t>
      </w:r>
      <w:r w:rsidR="0061503C" w:rsidRPr="001E2445">
        <w:rPr>
          <w:sz w:val="28"/>
          <w:szCs w:val="28"/>
        </w:rPr>
        <w:t>дифференцированного норматива отчислений в бюджет Со</w:t>
      </w:r>
      <w:r w:rsidR="0061503C" w:rsidRPr="0061503C">
        <w:rPr>
          <w:sz w:val="28"/>
          <w:szCs w:val="28"/>
        </w:rPr>
        <w:t xml:space="preserve">ликамского городского </w:t>
      </w:r>
      <w:r w:rsidR="00C33A8F" w:rsidRPr="00C33A8F">
        <w:rPr>
          <w:sz w:val="28"/>
          <w:szCs w:val="28"/>
        </w:rPr>
        <w:t xml:space="preserve">округа </w:t>
      </w:r>
      <w:r w:rsidR="00E206A5" w:rsidRPr="00E206A5">
        <w:rPr>
          <w:sz w:val="28"/>
          <w:szCs w:val="28"/>
        </w:rPr>
        <w:t>с 0,2049 % в 2020 году до 0,2175 % на 2021-2023 гг.</w:t>
      </w:r>
    </w:p>
    <w:p w:rsidR="00D65205" w:rsidRDefault="008F4754" w:rsidP="002925B2">
      <w:pPr>
        <w:spacing w:line="360" w:lineRule="exact"/>
        <w:ind w:firstLine="709"/>
        <w:jc w:val="both"/>
        <w:rPr>
          <w:sz w:val="28"/>
          <w:szCs w:val="28"/>
        </w:rPr>
      </w:pPr>
      <w:r>
        <w:rPr>
          <w:b/>
          <w:sz w:val="28"/>
          <w:szCs w:val="28"/>
        </w:rPr>
        <w:t>Н</w:t>
      </w:r>
      <w:r w:rsidR="00DB5143">
        <w:rPr>
          <w:b/>
          <w:sz w:val="28"/>
          <w:szCs w:val="28"/>
        </w:rPr>
        <w:t xml:space="preserve">алоги на имущество </w:t>
      </w:r>
      <w:r w:rsidR="00DB5143" w:rsidRPr="00B752C6">
        <w:rPr>
          <w:sz w:val="28"/>
          <w:szCs w:val="28"/>
        </w:rPr>
        <w:t>(налог на имущество физических лиц, транспортный налог, земельный налог)</w:t>
      </w:r>
      <w:r w:rsidR="00DB5143">
        <w:rPr>
          <w:sz w:val="28"/>
          <w:szCs w:val="28"/>
        </w:rPr>
        <w:t xml:space="preserve"> </w:t>
      </w:r>
      <w:proofErr w:type="gramStart"/>
      <w:r w:rsidR="00DB5143">
        <w:rPr>
          <w:sz w:val="28"/>
          <w:szCs w:val="28"/>
        </w:rPr>
        <w:t xml:space="preserve">запланированы </w:t>
      </w:r>
      <w:r w:rsidR="00DB5143" w:rsidRPr="00B752C6">
        <w:rPr>
          <w:sz w:val="28"/>
          <w:szCs w:val="28"/>
        </w:rPr>
        <w:t>с учетом  предложений  МРИ</w:t>
      </w:r>
      <w:proofErr w:type="gramEnd"/>
      <w:r w:rsidR="00DB5143" w:rsidRPr="00B752C6">
        <w:rPr>
          <w:sz w:val="28"/>
          <w:szCs w:val="28"/>
        </w:rPr>
        <w:t xml:space="preserve"> ФНС  РФ № 11 по Пермскому краю</w:t>
      </w:r>
      <w:r w:rsidR="00D65205">
        <w:rPr>
          <w:sz w:val="28"/>
          <w:szCs w:val="28"/>
        </w:rPr>
        <w:t>.</w:t>
      </w:r>
    </w:p>
    <w:p w:rsidR="00D5411A" w:rsidRPr="00D65205" w:rsidRDefault="00D65205" w:rsidP="00D65205">
      <w:pPr>
        <w:spacing w:line="360" w:lineRule="exact"/>
        <w:ind w:firstLine="709"/>
        <w:jc w:val="both"/>
        <w:rPr>
          <w:sz w:val="28"/>
          <w:szCs w:val="28"/>
        </w:rPr>
      </w:pPr>
      <w:r>
        <w:rPr>
          <w:sz w:val="28"/>
          <w:szCs w:val="28"/>
        </w:rPr>
        <w:t xml:space="preserve">                                                               </w:t>
      </w:r>
      <w:r w:rsidR="00304D20">
        <w:rPr>
          <w:sz w:val="28"/>
          <w:szCs w:val="28"/>
        </w:rPr>
        <w:t xml:space="preserve">                              </w:t>
      </w:r>
      <w:r>
        <w:rPr>
          <w:sz w:val="28"/>
          <w:szCs w:val="28"/>
        </w:rPr>
        <w:t xml:space="preserve">      </w:t>
      </w:r>
      <w:r w:rsidR="00D5411A" w:rsidRPr="000E73B0">
        <w:rPr>
          <w:i/>
          <w:sz w:val="22"/>
          <w:szCs w:val="22"/>
        </w:rPr>
        <w:t xml:space="preserve">Таблица № </w:t>
      </w:r>
      <w:r w:rsidR="003B373A">
        <w:rPr>
          <w:i/>
          <w:sz w:val="22"/>
          <w:szCs w:val="22"/>
        </w:rPr>
        <w:t>2</w:t>
      </w:r>
      <w:r w:rsidR="00D5411A" w:rsidRPr="000E73B0">
        <w:rPr>
          <w:i/>
          <w:sz w:val="22"/>
          <w:szCs w:val="22"/>
        </w:rPr>
        <w:t>, тыс. руб.</w:t>
      </w:r>
    </w:p>
    <w:tbl>
      <w:tblPr>
        <w:tblStyle w:val="ad"/>
        <w:tblW w:w="0" w:type="auto"/>
        <w:tblLayout w:type="fixed"/>
        <w:tblLook w:val="04A0" w:firstRow="1" w:lastRow="0" w:firstColumn="1" w:lastColumn="0" w:noHBand="0" w:noVBand="1"/>
      </w:tblPr>
      <w:tblGrid>
        <w:gridCol w:w="4928"/>
        <w:gridCol w:w="2126"/>
        <w:gridCol w:w="1843"/>
        <w:gridCol w:w="1701"/>
      </w:tblGrid>
      <w:tr w:rsidR="00D65205" w:rsidTr="00304D20">
        <w:trPr>
          <w:trHeight w:val="1390"/>
        </w:trPr>
        <w:tc>
          <w:tcPr>
            <w:tcW w:w="4928" w:type="dxa"/>
          </w:tcPr>
          <w:p w:rsidR="00D65205" w:rsidRPr="00D5411A" w:rsidRDefault="00D65205" w:rsidP="00D5411A">
            <w:pPr>
              <w:spacing w:line="360" w:lineRule="exact"/>
              <w:jc w:val="center"/>
              <w:rPr>
                <w:b/>
              </w:rPr>
            </w:pPr>
            <w:r w:rsidRPr="00D5411A">
              <w:rPr>
                <w:b/>
              </w:rPr>
              <w:t>Наименование налогов</w:t>
            </w:r>
          </w:p>
        </w:tc>
        <w:tc>
          <w:tcPr>
            <w:tcW w:w="2126" w:type="dxa"/>
            <w:vAlign w:val="center"/>
          </w:tcPr>
          <w:p w:rsidR="00D65205" w:rsidRPr="002D5192" w:rsidRDefault="00D65205" w:rsidP="009D22C4">
            <w:pPr>
              <w:jc w:val="center"/>
              <w:rPr>
                <w:b/>
              </w:rPr>
            </w:pPr>
            <w:r w:rsidRPr="00D65205">
              <w:rPr>
                <w:b/>
              </w:rPr>
              <w:t>202</w:t>
            </w:r>
            <w:r w:rsidR="00E71960">
              <w:rPr>
                <w:b/>
              </w:rPr>
              <w:t>1</w:t>
            </w:r>
            <w:r w:rsidRPr="00D65205">
              <w:rPr>
                <w:b/>
              </w:rPr>
              <w:t xml:space="preserve"> (утверждено решением СГД № </w:t>
            </w:r>
            <w:r w:rsidR="009D22C4">
              <w:rPr>
                <w:b/>
              </w:rPr>
              <w:t>655</w:t>
            </w:r>
            <w:r w:rsidRPr="00D65205">
              <w:rPr>
                <w:b/>
              </w:rPr>
              <w:t xml:space="preserve"> от 1</w:t>
            </w:r>
            <w:r w:rsidR="009D22C4">
              <w:rPr>
                <w:b/>
              </w:rPr>
              <w:t>8</w:t>
            </w:r>
            <w:r w:rsidRPr="00D65205">
              <w:rPr>
                <w:b/>
              </w:rPr>
              <w:t>.12.201</w:t>
            </w:r>
            <w:r w:rsidR="009D22C4">
              <w:rPr>
                <w:b/>
              </w:rPr>
              <w:t>9</w:t>
            </w:r>
            <w:r w:rsidRPr="00D65205">
              <w:rPr>
                <w:b/>
              </w:rPr>
              <w:t xml:space="preserve"> г.)</w:t>
            </w:r>
          </w:p>
        </w:tc>
        <w:tc>
          <w:tcPr>
            <w:tcW w:w="1843" w:type="dxa"/>
            <w:vAlign w:val="center"/>
          </w:tcPr>
          <w:p w:rsidR="00D65205" w:rsidRPr="002D5192" w:rsidRDefault="00D65205" w:rsidP="009D22C4">
            <w:pPr>
              <w:jc w:val="center"/>
              <w:rPr>
                <w:b/>
              </w:rPr>
            </w:pPr>
            <w:r w:rsidRPr="002D5192">
              <w:rPr>
                <w:b/>
              </w:rPr>
              <w:t>20</w:t>
            </w:r>
            <w:r>
              <w:rPr>
                <w:b/>
              </w:rPr>
              <w:t>2</w:t>
            </w:r>
            <w:r w:rsidR="009D22C4">
              <w:rPr>
                <w:b/>
              </w:rPr>
              <w:t>1</w:t>
            </w:r>
            <w:r w:rsidRPr="002D5192">
              <w:rPr>
                <w:b/>
              </w:rPr>
              <w:t xml:space="preserve"> (проект)</w:t>
            </w:r>
          </w:p>
        </w:tc>
        <w:tc>
          <w:tcPr>
            <w:tcW w:w="1701" w:type="dxa"/>
          </w:tcPr>
          <w:p w:rsidR="00D65205" w:rsidRDefault="00D65205" w:rsidP="00C23198">
            <w:pPr>
              <w:jc w:val="center"/>
              <w:rPr>
                <w:b/>
              </w:rPr>
            </w:pPr>
          </w:p>
          <w:p w:rsidR="00D65205" w:rsidRDefault="00D65205" w:rsidP="002E6446">
            <w:pPr>
              <w:jc w:val="center"/>
              <w:rPr>
                <w:b/>
              </w:rPr>
            </w:pPr>
            <w:r>
              <w:rPr>
                <w:b/>
              </w:rPr>
              <w:t>Отклонение</w:t>
            </w:r>
          </w:p>
        </w:tc>
      </w:tr>
      <w:tr w:rsidR="00D65205" w:rsidTr="00304D20">
        <w:tc>
          <w:tcPr>
            <w:tcW w:w="4928" w:type="dxa"/>
          </w:tcPr>
          <w:p w:rsidR="00D65205" w:rsidRPr="00D5411A" w:rsidRDefault="00D65205" w:rsidP="00F46F2E">
            <w:pPr>
              <w:spacing w:line="360" w:lineRule="exact"/>
              <w:jc w:val="both"/>
            </w:pPr>
            <w:r w:rsidRPr="00D5411A">
              <w:t>Налог на имущество физических лиц</w:t>
            </w:r>
          </w:p>
        </w:tc>
        <w:tc>
          <w:tcPr>
            <w:tcW w:w="2126" w:type="dxa"/>
            <w:vAlign w:val="bottom"/>
          </w:tcPr>
          <w:p w:rsidR="00D65205" w:rsidRPr="000E73B0" w:rsidRDefault="0082719A" w:rsidP="000E73B0">
            <w:pPr>
              <w:jc w:val="right"/>
            </w:pPr>
            <w:r>
              <w:t>31 0</w:t>
            </w:r>
            <w:r w:rsidR="00C81D07">
              <w:t>00,0</w:t>
            </w:r>
          </w:p>
        </w:tc>
        <w:tc>
          <w:tcPr>
            <w:tcW w:w="1843" w:type="dxa"/>
            <w:vAlign w:val="bottom"/>
          </w:tcPr>
          <w:p w:rsidR="00D65205" w:rsidRPr="000E73B0" w:rsidRDefault="0082719A" w:rsidP="000E73B0">
            <w:pPr>
              <w:spacing w:line="360" w:lineRule="exact"/>
              <w:jc w:val="right"/>
            </w:pPr>
            <w:r>
              <w:t>54 404</w:t>
            </w:r>
            <w:r w:rsidR="00C81D07">
              <w:t>,0</w:t>
            </w:r>
          </w:p>
        </w:tc>
        <w:tc>
          <w:tcPr>
            <w:tcW w:w="1701" w:type="dxa"/>
            <w:vAlign w:val="bottom"/>
          </w:tcPr>
          <w:p w:rsidR="00D65205" w:rsidRDefault="0082719A" w:rsidP="00EF7123">
            <w:pPr>
              <w:spacing w:line="360" w:lineRule="exact"/>
              <w:jc w:val="right"/>
              <w:rPr>
                <w:sz w:val="28"/>
                <w:szCs w:val="28"/>
              </w:rPr>
            </w:pPr>
            <w:r>
              <w:rPr>
                <w:sz w:val="28"/>
                <w:szCs w:val="28"/>
              </w:rPr>
              <w:t>23 404</w:t>
            </w:r>
            <w:r w:rsidR="00D952F0">
              <w:rPr>
                <w:sz w:val="28"/>
                <w:szCs w:val="28"/>
              </w:rPr>
              <w:t>,0</w:t>
            </w:r>
          </w:p>
        </w:tc>
      </w:tr>
      <w:tr w:rsidR="00D65205" w:rsidTr="00304D20">
        <w:tc>
          <w:tcPr>
            <w:tcW w:w="4928" w:type="dxa"/>
          </w:tcPr>
          <w:p w:rsidR="00D65205" w:rsidRPr="00D5411A" w:rsidRDefault="00D65205" w:rsidP="00F46F2E">
            <w:pPr>
              <w:spacing w:line="360" w:lineRule="exact"/>
              <w:jc w:val="both"/>
            </w:pPr>
            <w:r w:rsidRPr="00D5411A">
              <w:t>Транспортный налог</w:t>
            </w:r>
          </w:p>
        </w:tc>
        <w:tc>
          <w:tcPr>
            <w:tcW w:w="2126" w:type="dxa"/>
            <w:vAlign w:val="bottom"/>
          </w:tcPr>
          <w:p w:rsidR="00D65205" w:rsidRPr="000E73B0" w:rsidRDefault="0082719A" w:rsidP="000E73B0">
            <w:pPr>
              <w:spacing w:line="360" w:lineRule="exact"/>
              <w:jc w:val="right"/>
            </w:pPr>
            <w:r>
              <w:t>99 700</w:t>
            </w:r>
            <w:r w:rsidR="00C81D07">
              <w:t>,0</w:t>
            </w:r>
          </w:p>
        </w:tc>
        <w:tc>
          <w:tcPr>
            <w:tcW w:w="1843" w:type="dxa"/>
            <w:vAlign w:val="bottom"/>
          </w:tcPr>
          <w:p w:rsidR="00D65205" w:rsidRPr="000E73B0" w:rsidRDefault="0082719A" w:rsidP="000E73B0">
            <w:pPr>
              <w:spacing w:line="360" w:lineRule="exact"/>
              <w:jc w:val="right"/>
            </w:pPr>
            <w:r>
              <w:t>100 600</w:t>
            </w:r>
            <w:r w:rsidR="00C81D07">
              <w:t>,0</w:t>
            </w:r>
          </w:p>
        </w:tc>
        <w:tc>
          <w:tcPr>
            <w:tcW w:w="1701" w:type="dxa"/>
            <w:vAlign w:val="bottom"/>
          </w:tcPr>
          <w:p w:rsidR="00D65205" w:rsidRDefault="0082719A" w:rsidP="002E6446">
            <w:pPr>
              <w:spacing w:line="360" w:lineRule="exact"/>
              <w:jc w:val="right"/>
              <w:rPr>
                <w:sz w:val="28"/>
                <w:szCs w:val="28"/>
              </w:rPr>
            </w:pPr>
            <w:r>
              <w:rPr>
                <w:sz w:val="28"/>
                <w:szCs w:val="28"/>
              </w:rPr>
              <w:t>900</w:t>
            </w:r>
            <w:r w:rsidR="00D952F0">
              <w:rPr>
                <w:sz w:val="28"/>
                <w:szCs w:val="28"/>
              </w:rPr>
              <w:t>,0</w:t>
            </w:r>
          </w:p>
        </w:tc>
      </w:tr>
      <w:tr w:rsidR="00D65205" w:rsidTr="00304D20">
        <w:tc>
          <w:tcPr>
            <w:tcW w:w="4928" w:type="dxa"/>
          </w:tcPr>
          <w:p w:rsidR="00D65205" w:rsidRPr="00D5411A" w:rsidRDefault="00D65205" w:rsidP="00F46F2E">
            <w:pPr>
              <w:spacing w:line="360" w:lineRule="exact"/>
              <w:jc w:val="both"/>
            </w:pPr>
            <w:r w:rsidRPr="00D5411A">
              <w:t>Земельный налог</w:t>
            </w:r>
          </w:p>
        </w:tc>
        <w:tc>
          <w:tcPr>
            <w:tcW w:w="2126" w:type="dxa"/>
            <w:vAlign w:val="bottom"/>
          </w:tcPr>
          <w:p w:rsidR="00D65205" w:rsidRPr="000E73B0" w:rsidRDefault="0082719A" w:rsidP="000E73B0">
            <w:pPr>
              <w:spacing w:line="360" w:lineRule="exact"/>
              <w:jc w:val="right"/>
            </w:pPr>
            <w:r>
              <w:t>151 800</w:t>
            </w:r>
            <w:r w:rsidR="00C81D07">
              <w:t>,0</w:t>
            </w:r>
          </w:p>
        </w:tc>
        <w:tc>
          <w:tcPr>
            <w:tcW w:w="1843" w:type="dxa"/>
            <w:vAlign w:val="bottom"/>
          </w:tcPr>
          <w:p w:rsidR="00D65205" w:rsidRPr="000E73B0" w:rsidRDefault="0082719A" w:rsidP="000E73B0">
            <w:pPr>
              <w:spacing w:line="360" w:lineRule="exact"/>
              <w:jc w:val="right"/>
            </w:pPr>
            <w:r>
              <w:t>138 800</w:t>
            </w:r>
            <w:r w:rsidR="00C81D07">
              <w:t>,0</w:t>
            </w:r>
          </w:p>
        </w:tc>
        <w:tc>
          <w:tcPr>
            <w:tcW w:w="1701" w:type="dxa"/>
            <w:vAlign w:val="bottom"/>
          </w:tcPr>
          <w:p w:rsidR="00D65205" w:rsidRDefault="0082719A" w:rsidP="002E6446">
            <w:pPr>
              <w:spacing w:line="360" w:lineRule="exact"/>
              <w:jc w:val="right"/>
              <w:rPr>
                <w:sz w:val="28"/>
                <w:szCs w:val="28"/>
              </w:rPr>
            </w:pPr>
            <w:r>
              <w:rPr>
                <w:sz w:val="28"/>
                <w:szCs w:val="28"/>
              </w:rPr>
              <w:t>-13 000</w:t>
            </w:r>
            <w:r w:rsidR="00D952F0">
              <w:rPr>
                <w:sz w:val="28"/>
                <w:szCs w:val="28"/>
              </w:rPr>
              <w:t>,0</w:t>
            </w:r>
          </w:p>
        </w:tc>
      </w:tr>
      <w:tr w:rsidR="00D65205" w:rsidTr="00304D20">
        <w:tc>
          <w:tcPr>
            <w:tcW w:w="4928" w:type="dxa"/>
          </w:tcPr>
          <w:p w:rsidR="00D65205" w:rsidRPr="004B5716" w:rsidRDefault="00D65205" w:rsidP="00F46F2E">
            <w:pPr>
              <w:spacing w:line="360" w:lineRule="exact"/>
              <w:jc w:val="both"/>
              <w:rPr>
                <w:b/>
                <w:sz w:val="28"/>
                <w:szCs w:val="28"/>
              </w:rPr>
            </w:pPr>
            <w:r w:rsidRPr="004B5716">
              <w:rPr>
                <w:b/>
                <w:sz w:val="28"/>
                <w:szCs w:val="28"/>
              </w:rPr>
              <w:t>Итого:</w:t>
            </w:r>
          </w:p>
        </w:tc>
        <w:tc>
          <w:tcPr>
            <w:tcW w:w="2126" w:type="dxa"/>
          </w:tcPr>
          <w:p w:rsidR="00D65205" w:rsidRPr="002E6446" w:rsidRDefault="0082719A" w:rsidP="002E6446">
            <w:pPr>
              <w:spacing w:line="360" w:lineRule="exact"/>
              <w:jc w:val="right"/>
              <w:rPr>
                <w:b/>
                <w:sz w:val="28"/>
                <w:szCs w:val="28"/>
              </w:rPr>
            </w:pPr>
            <w:r>
              <w:rPr>
                <w:b/>
                <w:sz w:val="28"/>
                <w:szCs w:val="28"/>
              </w:rPr>
              <w:t>282 500</w:t>
            </w:r>
            <w:r w:rsidR="00C81D07">
              <w:rPr>
                <w:b/>
                <w:sz w:val="28"/>
                <w:szCs w:val="28"/>
              </w:rPr>
              <w:t>,0</w:t>
            </w:r>
          </w:p>
        </w:tc>
        <w:tc>
          <w:tcPr>
            <w:tcW w:w="1843" w:type="dxa"/>
          </w:tcPr>
          <w:p w:rsidR="00D65205" w:rsidRPr="002E6446" w:rsidRDefault="0082719A" w:rsidP="00EF7123">
            <w:pPr>
              <w:spacing w:line="360" w:lineRule="exact"/>
              <w:jc w:val="right"/>
              <w:rPr>
                <w:b/>
                <w:sz w:val="28"/>
                <w:szCs w:val="28"/>
              </w:rPr>
            </w:pPr>
            <w:r>
              <w:rPr>
                <w:b/>
                <w:sz w:val="28"/>
                <w:szCs w:val="28"/>
              </w:rPr>
              <w:t>293 804</w:t>
            </w:r>
            <w:r w:rsidR="00C81D07">
              <w:rPr>
                <w:b/>
                <w:sz w:val="28"/>
                <w:szCs w:val="28"/>
              </w:rPr>
              <w:t>,0</w:t>
            </w:r>
          </w:p>
        </w:tc>
        <w:tc>
          <w:tcPr>
            <w:tcW w:w="1701" w:type="dxa"/>
            <w:vAlign w:val="bottom"/>
          </w:tcPr>
          <w:p w:rsidR="00D65205" w:rsidRPr="002E6446" w:rsidRDefault="0082719A" w:rsidP="00EF7123">
            <w:pPr>
              <w:spacing w:line="360" w:lineRule="exact"/>
              <w:jc w:val="right"/>
              <w:rPr>
                <w:b/>
                <w:sz w:val="28"/>
                <w:szCs w:val="28"/>
              </w:rPr>
            </w:pPr>
            <w:r w:rsidRPr="0082719A">
              <w:rPr>
                <w:b/>
                <w:sz w:val="28"/>
                <w:szCs w:val="28"/>
              </w:rPr>
              <w:t>11 304</w:t>
            </w:r>
            <w:r w:rsidR="00D952F0">
              <w:rPr>
                <w:b/>
                <w:sz w:val="28"/>
                <w:szCs w:val="28"/>
              </w:rPr>
              <w:t>,0</w:t>
            </w:r>
          </w:p>
        </w:tc>
      </w:tr>
    </w:tbl>
    <w:p w:rsidR="00463115" w:rsidRDefault="007D74AE" w:rsidP="007D74AE">
      <w:pPr>
        <w:pStyle w:val="a5"/>
        <w:spacing w:line="360" w:lineRule="exact"/>
        <w:ind w:left="0"/>
        <w:jc w:val="both"/>
        <w:rPr>
          <w:sz w:val="28"/>
          <w:szCs w:val="28"/>
        </w:rPr>
      </w:pPr>
      <w:r>
        <w:rPr>
          <w:sz w:val="28"/>
          <w:szCs w:val="28"/>
        </w:rPr>
        <w:tab/>
      </w:r>
      <w:r w:rsidR="00463115" w:rsidRPr="00047401">
        <w:rPr>
          <w:sz w:val="28"/>
          <w:szCs w:val="28"/>
        </w:rPr>
        <w:t>Поступления по налогу на имущество физических лиц на 20</w:t>
      </w:r>
      <w:r>
        <w:rPr>
          <w:sz w:val="28"/>
          <w:szCs w:val="28"/>
        </w:rPr>
        <w:t>2</w:t>
      </w:r>
      <w:r w:rsidR="00AC3CC7">
        <w:rPr>
          <w:sz w:val="28"/>
          <w:szCs w:val="28"/>
        </w:rPr>
        <w:t>1</w:t>
      </w:r>
      <w:r w:rsidR="00463115" w:rsidRPr="00047401">
        <w:rPr>
          <w:sz w:val="28"/>
          <w:szCs w:val="28"/>
        </w:rPr>
        <w:t>-20</w:t>
      </w:r>
      <w:r w:rsidR="00BF199D" w:rsidRPr="00047401">
        <w:rPr>
          <w:sz w:val="28"/>
          <w:szCs w:val="28"/>
        </w:rPr>
        <w:t>2</w:t>
      </w:r>
      <w:r w:rsidR="00AC3CC7">
        <w:rPr>
          <w:sz w:val="28"/>
          <w:szCs w:val="28"/>
        </w:rPr>
        <w:t>3</w:t>
      </w:r>
      <w:r w:rsidR="00463115" w:rsidRPr="00047401">
        <w:rPr>
          <w:sz w:val="28"/>
          <w:szCs w:val="28"/>
        </w:rPr>
        <w:t xml:space="preserve"> годы  запланированы исходя </w:t>
      </w:r>
      <w:r w:rsidR="00463115" w:rsidRPr="00047401">
        <w:rPr>
          <w:i/>
          <w:sz w:val="28"/>
          <w:szCs w:val="28"/>
        </w:rPr>
        <w:t xml:space="preserve">из </w:t>
      </w:r>
      <w:r w:rsidRPr="007D74AE">
        <w:rPr>
          <w:i/>
          <w:sz w:val="28"/>
          <w:szCs w:val="28"/>
        </w:rPr>
        <w:t>кадастровой стоимости имущества</w:t>
      </w:r>
      <w:r w:rsidR="00463115" w:rsidRPr="00047401">
        <w:rPr>
          <w:sz w:val="28"/>
          <w:szCs w:val="28"/>
        </w:rPr>
        <w:t xml:space="preserve"> и ставок  налога, утвержденных решением Соликамской городской Думы </w:t>
      </w:r>
      <w:r w:rsidR="0042418C" w:rsidRPr="00047401">
        <w:rPr>
          <w:sz w:val="28"/>
          <w:szCs w:val="28"/>
        </w:rPr>
        <w:t>от 22.11.2017 г. № 216 «О налоге на имущество физических лиц»</w:t>
      </w:r>
      <w:r>
        <w:rPr>
          <w:sz w:val="28"/>
          <w:szCs w:val="28"/>
        </w:rPr>
        <w:t>.</w:t>
      </w:r>
    </w:p>
    <w:p w:rsidR="00B00713" w:rsidRDefault="00AC3CC7" w:rsidP="00352644">
      <w:pPr>
        <w:pStyle w:val="a5"/>
        <w:spacing w:line="360" w:lineRule="exact"/>
        <w:ind w:left="0" w:firstLine="360"/>
        <w:jc w:val="both"/>
        <w:rPr>
          <w:sz w:val="28"/>
          <w:szCs w:val="28"/>
        </w:rPr>
      </w:pPr>
      <w:r>
        <w:rPr>
          <w:sz w:val="28"/>
          <w:szCs w:val="28"/>
        </w:rPr>
        <w:t>Переходный период</w:t>
      </w:r>
      <w:r w:rsidR="00352644" w:rsidRPr="007D74AE">
        <w:rPr>
          <w:sz w:val="28"/>
          <w:szCs w:val="28"/>
        </w:rPr>
        <w:t xml:space="preserve"> </w:t>
      </w:r>
      <w:r>
        <w:rPr>
          <w:sz w:val="28"/>
          <w:szCs w:val="28"/>
        </w:rPr>
        <w:t>по</w:t>
      </w:r>
      <w:r w:rsidR="00352644" w:rsidRPr="007D74AE">
        <w:rPr>
          <w:sz w:val="28"/>
          <w:szCs w:val="28"/>
        </w:rPr>
        <w:t xml:space="preserve"> новому порядку </w:t>
      </w:r>
      <w:r w:rsidR="00352644">
        <w:rPr>
          <w:sz w:val="28"/>
          <w:szCs w:val="28"/>
        </w:rPr>
        <w:t>расчета</w:t>
      </w:r>
      <w:r>
        <w:rPr>
          <w:sz w:val="28"/>
          <w:szCs w:val="28"/>
        </w:rPr>
        <w:t xml:space="preserve"> заканчивается</w:t>
      </w:r>
      <w:r w:rsidR="00CB6CF9">
        <w:rPr>
          <w:sz w:val="28"/>
          <w:szCs w:val="28"/>
        </w:rPr>
        <w:t xml:space="preserve"> в 2022 году</w:t>
      </w:r>
      <w:r w:rsidR="00352644">
        <w:rPr>
          <w:sz w:val="28"/>
          <w:szCs w:val="28"/>
        </w:rPr>
        <w:t xml:space="preserve">. </w:t>
      </w:r>
      <w:r w:rsidR="00CB6CF9">
        <w:rPr>
          <w:sz w:val="28"/>
          <w:szCs w:val="28"/>
        </w:rPr>
        <w:t>П</w:t>
      </w:r>
      <w:r w:rsidR="007D74AE" w:rsidRPr="007D74AE">
        <w:rPr>
          <w:sz w:val="28"/>
          <w:szCs w:val="28"/>
        </w:rPr>
        <w:t>рименя</w:t>
      </w:r>
      <w:r w:rsidR="00CB6CF9">
        <w:rPr>
          <w:sz w:val="28"/>
          <w:szCs w:val="28"/>
        </w:rPr>
        <w:t>емые</w:t>
      </w:r>
      <w:r w:rsidR="007D74AE" w:rsidRPr="007D74AE">
        <w:rPr>
          <w:sz w:val="28"/>
          <w:szCs w:val="28"/>
        </w:rPr>
        <w:t xml:space="preserve"> понижающие коэффициенты</w:t>
      </w:r>
      <w:r w:rsidRPr="00AC3CC7">
        <w:rPr>
          <w:sz w:val="28"/>
          <w:szCs w:val="28"/>
        </w:rPr>
        <w:t xml:space="preserve"> равны: 0,6 – </w:t>
      </w:r>
      <w:r w:rsidR="00CB6CF9">
        <w:rPr>
          <w:sz w:val="28"/>
          <w:szCs w:val="28"/>
        </w:rPr>
        <w:t xml:space="preserve">за </w:t>
      </w:r>
      <w:r w:rsidRPr="00AC3CC7">
        <w:rPr>
          <w:sz w:val="28"/>
          <w:szCs w:val="28"/>
        </w:rPr>
        <w:t>2020</w:t>
      </w:r>
      <w:r w:rsidR="00CB6CF9">
        <w:rPr>
          <w:sz w:val="28"/>
          <w:szCs w:val="28"/>
        </w:rPr>
        <w:t xml:space="preserve"> (поступления в 2021г.)</w:t>
      </w:r>
      <w:r w:rsidR="00717931">
        <w:rPr>
          <w:sz w:val="28"/>
          <w:szCs w:val="28"/>
        </w:rPr>
        <w:t xml:space="preserve"> против 0,4 за 2019 г.</w:t>
      </w:r>
      <w:r w:rsidR="00CB6CF9">
        <w:rPr>
          <w:sz w:val="28"/>
          <w:szCs w:val="28"/>
        </w:rPr>
        <w:t xml:space="preserve"> </w:t>
      </w:r>
      <w:r w:rsidRPr="00AC3CC7">
        <w:rPr>
          <w:sz w:val="28"/>
          <w:szCs w:val="28"/>
        </w:rPr>
        <w:t>и 1,0 – за 2021 год.</w:t>
      </w:r>
    </w:p>
    <w:p w:rsidR="00F0273B" w:rsidRPr="00047401" w:rsidRDefault="006338B6" w:rsidP="00B00713">
      <w:pPr>
        <w:spacing w:line="360" w:lineRule="exact"/>
        <w:ind w:firstLine="709"/>
        <w:jc w:val="both"/>
        <w:rPr>
          <w:sz w:val="28"/>
          <w:szCs w:val="28"/>
        </w:rPr>
      </w:pPr>
      <w:r>
        <w:rPr>
          <w:sz w:val="28"/>
          <w:szCs w:val="28"/>
        </w:rPr>
        <w:t>Сумма т</w:t>
      </w:r>
      <w:r w:rsidR="00F428CD" w:rsidRPr="00047401">
        <w:rPr>
          <w:sz w:val="28"/>
          <w:szCs w:val="28"/>
        </w:rPr>
        <w:t>ранспортн</w:t>
      </w:r>
      <w:r>
        <w:rPr>
          <w:sz w:val="28"/>
          <w:szCs w:val="28"/>
        </w:rPr>
        <w:t>ого</w:t>
      </w:r>
      <w:r w:rsidR="00F428CD" w:rsidRPr="00047401">
        <w:rPr>
          <w:sz w:val="28"/>
          <w:szCs w:val="28"/>
        </w:rPr>
        <w:t xml:space="preserve"> налог</w:t>
      </w:r>
      <w:r>
        <w:rPr>
          <w:sz w:val="28"/>
          <w:szCs w:val="28"/>
        </w:rPr>
        <w:t>а</w:t>
      </w:r>
      <w:r w:rsidR="00F428CD" w:rsidRPr="00047401">
        <w:rPr>
          <w:sz w:val="28"/>
          <w:szCs w:val="28"/>
        </w:rPr>
        <w:t xml:space="preserve"> </w:t>
      </w:r>
      <w:r w:rsidRPr="006338B6">
        <w:rPr>
          <w:sz w:val="28"/>
          <w:szCs w:val="28"/>
        </w:rPr>
        <w:t>определен</w:t>
      </w:r>
      <w:r>
        <w:rPr>
          <w:sz w:val="28"/>
          <w:szCs w:val="28"/>
        </w:rPr>
        <w:t>а</w:t>
      </w:r>
      <w:r w:rsidRPr="006338B6">
        <w:rPr>
          <w:sz w:val="28"/>
          <w:szCs w:val="28"/>
        </w:rPr>
        <w:t xml:space="preserve"> с учетом изменения количества транспортных средств и изменения их качественного состава на базе фактически сложившейся динамики.</w:t>
      </w:r>
    </w:p>
    <w:p w:rsidR="006A0D52" w:rsidRPr="0003404B" w:rsidRDefault="000539A1" w:rsidP="00F46F2E">
      <w:pPr>
        <w:spacing w:line="360" w:lineRule="exact"/>
        <w:ind w:firstLine="709"/>
        <w:jc w:val="both"/>
        <w:rPr>
          <w:sz w:val="28"/>
          <w:szCs w:val="28"/>
        </w:rPr>
      </w:pPr>
      <w:proofErr w:type="gramStart"/>
      <w:r w:rsidRPr="0003404B">
        <w:rPr>
          <w:sz w:val="28"/>
          <w:szCs w:val="28"/>
        </w:rPr>
        <w:t>С</w:t>
      </w:r>
      <w:r w:rsidRPr="000539A1">
        <w:rPr>
          <w:sz w:val="28"/>
          <w:szCs w:val="28"/>
        </w:rPr>
        <w:t>нижение поступлений по земельному налогу связано с выходом</w:t>
      </w:r>
      <w:r w:rsidR="0003404B" w:rsidRPr="0003404B">
        <w:t xml:space="preserve"> </w:t>
      </w:r>
      <w:r w:rsidR="0003404B" w:rsidRPr="0003404B">
        <w:rPr>
          <w:sz w:val="28"/>
          <w:szCs w:val="28"/>
        </w:rPr>
        <w:t>приказ</w:t>
      </w:r>
      <w:r w:rsidR="0003404B">
        <w:rPr>
          <w:sz w:val="28"/>
          <w:szCs w:val="28"/>
        </w:rPr>
        <w:t>а</w:t>
      </w:r>
      <w:r w:rsidR="0003404B" w:rsidRPr="0003404B">
        <w:rPr>
          <w:sz w:val="28"/>
          <w:szCs w:val="28"/>
        </w:rPr>
        <w:t xml:space="preserve"> Министерства по управлению имуществом и градостроительной деятельности Пермского края от 12.11.2019 г. № СЭД-31-02-2-2-1393</w:t>
      </w:r>
      <w:r w:rsidR="0003404B" w:rsidRPr="0003404B">
        <w:rPr>
          <w:rFonts w:eastAsiaTheme="minorHAnsi"/>
          <w:lang w:eastAsia="en-US"/>
        </w:rPr>
        <w:t xml:space="preserve"> </w:t>
      </w:r>
      <w:r w:rsidR="0003404B" w:rsidRPr="0003404B">
        <w:rPr>
          <w:rFonts w:eastAsiaTheme="minorHAnsi"/>
          <w:sz w:val="28"/>
          <w:szCs w:val="28"/>
          <w:lang w:eastAsia="en-US"/>
        </w:rPr>
        <w:t>"Об утверждении результатов определения кадастровой стоимости земельных участков в составе земель населенных пунктов на территории Пермского края"</w:t>
      </w:r>
      <w:r w:rsidR="0003404B">
        <w:rPr>
          <w:rFonts w:eastAsiaTheme="minorHAnsi"/>
          <w:sz w:val="28"/>
          <w:szCs w:val="28"/>
          <w:lang w:eastAsia="en-US"/>
        </w:rPr>
        <w:t>, в соответствии с которым пересмотрена кадастровая стоимость</w:t>
      </w:r>
      <w:r w:rsidR="0003404B" w:rsidRPr="0003404B">
        <w:rPr>
          <w:sz w:val="28"/>
          <w:szCs w:val="28"/>
        </w:rPr>
        <w:t xml:space="preserve"> </w:t>
      </w:r>
      <w:r w:rsidR="0003404B">
        <w:rPr>
          <w:sz w:val="28"/>
          <w:szCs w:val="28"/>
        </w:rPr>
        <w:t xml:space="preserve">земельных участков </w:t>
      </w:r>
      <w:r w:rsidR="0003404B" w:rsidRPr="0003404B">
        <w:rPr>
          <w:rFonts w:eastAsiaTheme="minorHAnsi"/>
          <w:sz w:val="28"/>
          <w:szCs w:val="28"/>
          <w:lang w:eastAsia="en-US"/>
        </w:rPr>
        <w:t>с 1 января 2020 г.</w:t>
      </w:r>
      <w:proofErr w:type="gramEnd"/>
    </w:p>
    <w:p w:rsidR="00DB5143" w:rsidRPr="00A371A6" w:rsidRDefault="00DB5143" w:rsidP="00F46F2E">
      <w:pPr>
        <w:spacing w:line="360" w:lineRule="exact"/>
        <w:ind w:firstLine="709"/>
        <w:jc w:val="both"/>
        <w:rPr>
          <w:sz w:val="28"/>
          <w:szCs w:val="28"/>
        </w:rPr>
      </w:pPr>
      <w:r w:rsidRPr="00740C4E">
        <w:rPr>
          <w:b/>
          <w:sz w:val="28"/>
          <w:szCs w:val="28"/>
        </w:rPr>
        <w:lastRenderedPageBreak/>
        <w:t>Неналоговые доходы</w:t>
      </w:r>
    </w:p>
    <w:p w:rsidR="00DB5143" w:rsidRDefault="00DB5143" w:rsidP="00F46F2E">
      <w:pPr>
        <w:spacing w:line="360" w:lineRule="exact"/>
        <w:ind w:firstLine="709"/>
        <w:jc w:val="both"/>
        <w:rPr>
          <w:sz w:val="28"/>
          <w:szCs w:val="28"/>
        </w:rPr>
      </w:pPr>
      <w:r w:rsidRPr="00740C4E">
        <w:rPr>
          <w:sz w:val="28"/>
          <w:szCs w:val="28"/>
        </w:rPr>
        <w:t>Структура неналоговых доходов на 20</w:t>
      </w:r>
      <w:r w:rsidR="00DE6C67">
        <w:rPr>
          <w:sz w:val="28"/>
          <w:szCs w:val="28"/>
        </w:rPr>
        <w:t>2</w:t>
      </w:r>
      <w:r w:rsidR="00662FA2">
        <w:rPr>
          <w:sz w:val="28"/>
          <w:szCs w:val="28"/>
        </w:rPr>
        <w:t>1</w:t>
      </w:r>
      <w:r w:rsidRPr="00740C4E">
        <w:rPr>
          <w:sz w:val="28"/>
          <w:szCs w:val="28"/>
        </w:rPr>
        <w:t xml:space="preserve"> год представлена на диаграмме.</w:t>
      </w:r>
    </w:p>
    <w:p w:rsidR="00077E58" w:rsidRDefault="00077E58" w:rsidP="00F46F2E">
      <w:pPr>
        <w:spacing w:line="360" w:lineRule="exact"/>
        <w:ind w:firstLine="709"/>
        <w:jc w:val="both"/>
        <w:rPr>
          <w:sz w:val="28"/>
          <w:szCs w:val="28"/>
        </w:rPr>
      </w:pPr>
    </w:p>
    <w:p w:rsidR="00DB5143" w:rsidRPr="00740C4E" w:rsidRDefault="00DB5143" w:rsidP="00DB5143">
      <w:pPr>
        <w:ind w:firstLine="709"/>
        <w:jc w:val="both"/>
        <w:rPr>
          <w:sz w:val="28"/>
          <w:szCs w:val="28"/>
        </w:rPr>
      </w:pPr>
      <w:r>
        <w:rPr>
          <w:noProof/>
          <w:sz w:val="28"/>
          <w:szCs w:val="28"/>
        </w:rPr>
        <w:drawing>
          <wp:inline distT="0" distB="0" distL="0" distR="0" wp14:anchorId="78085237" wp14:editId="7246F5E6">
            <wp:extent cx="5791200" cy="3209925"/>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740C4E">
        <w:rPr>
          <w:sz w:val="28"/>
          <w:szCs w:val="28"/>
        </w:rPr>
        <w:tab/>
      </w:r>
    </w:p>
    <w:p w:rsidR="00DB5143" w:rsidRDefault="00DB5143" w:rsidP="00DB5143">
      <w:pPr>
        <w:spacing w:line="360" w:lineRule="exact"/>
        <w:ind w:firstLine="709"/>
        <w:jc w:val="both"/>
      </w:pPr>
      <w:r>
        <w:rPr>
          <w:sz w:val="28"/>
          <w:szCs w:val="28"/>
        </w:rPr>
        <w:t>Ежегодно п</w:t>
      </w:r>
      <w:r w:rsidRPr="00740C4E">
        <w:rPr>
          <w:sz w:val="28"/>
          <w:szCs w:val="28"/>
        </w:rPr>
        <w:t xml:space="preserve">ланируемые доходы от </w:t>
      </w:r>
      <w:r w:rsidRPr="00740C4E">
        <w:rPr>
          <w:b/>
          <w:sz w:val="28"/>
          <w:szCs w:val="28"/>
        </w:rPr>
        <w:t xml:space="preserve">использования имущества, находящегося в </w:t>
      </w:r>
      <w:r>
        <w:rPr>
          <w:b/>
          <w:sz w:val="28"/>
          <w:szCs w:val="28"/>
        </w:rPr>
        <w:t xml:space="preserve">государственной и </w:t>
      </w:r>
      <w:r w:rsidRPr="00740C4E">
        <w:rPr>
          <w:b/>
          <w:sz w:val="28"/>
          <w:szCs w:val="28"/>
        </w:rPr>
        <w:t>муниципальной собственности</w:t>
      </w:r>
      <w:r w:rsidRPr="00740C4E">
        <w:rPr>
          <w:sz w:val="28"/>
          <w:szCs w:val="28"/>
        </w:rPr>
        <w:t xml:space="preserve"> занимают </w:t>
      </w:r>
      <w:r>
        <w:rPr>
          <w:sz w:val="28"/>
          <w:szCs w:val="28"/>
        </w:rPr>
        <w:t>наибольший процент</w:t>
      </w:r>
      <w:r w:rsidRPr="00740C4E">
        <w:rPr>
          <w:sz w:val="28"/>
          <w:szCs w:val="28"/>
        </w:rPr>
        <w:t xml:space="preserve"> </w:t>
      </w:r>
      <w:r>
        <w:rPr>
          <w:sz w:val="28"/>
          <w:szCs w:val="28"/>
        </w:rPr>
        <w:t xml:space="preserve"> (</w:t>
      </w:r>
      <w:r w:rsidR="00D00E93">
        <w:rPr>
          <w:sz w:val="28"/>
          <w:szCs w:val="28"/>
        </w:rPr>
        <w:t>76,8</w:t>
      </w:r>
      <w:r>
        <w:rPr>
          <w:sz w:val="28"/>
          <w:szCs w:val="28"/>
        </w:rPr>
        <w:t xml:space="preserve"> %) </w:t>
      </w:r>
      <w:r w:rsidRPr="00740C4E">
        <w:rPr>
          <w:sz w:val="28"/>
          <w:szCs w:val="28"/>
        </w:rPr>
        <w:t>в общем объеме неналоговых доходов</w:t>
      </w:r>
      <w:r>
        <w:rPr>
          <w:sz w:val="28"/>
          <w:szCs w:val="28"/>
        </w:rPr>
        <w:t>, которые состоят из следующих видов доходов:</w:t>
      </w:r>
      <w:r w:rsidRPr="00740C4E">
        <w:rPr>
          <w:sz w:val="28"/>
          <w:szCs w:val="28"/>
        </w:rPr>
        <w:t xml:space="preserve"> </w:t>
      </w:r>
    </w:p>
    <w:p w:rsidR="00DB5143" w:rsidRDefault="00DB5143" w:rsidP="00DB5143">
      <w:r>
        <w:rPr>
          <w:noProof/>
        </w:rPr>
        <w:drawing>
          <wp:inline distT="0" distB="0" distL="0" distR="0" wp14:anchorId="27546461" wp14:editId="6B9B9F66">
            <wp:extent cx="6581775" cy="4114800"/>
            <wp:effectExtent l="0" t="0" r="9525"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31629" w:rsidRDefault="006B7AEF" w:rsidP="00DB5143">
      <w:pPr>
        <w:spacing w:line="360" w:lineRule="exact"/>
        <w:ind w:firstLine="709"/>
        <w:jc w:val="both"/>
        <w:rPr>
          <w:sz w:val="28"/>
          <w:szCs w:val="28"/>
        </w:rPr>
      </w:pPr>
      <w:r>
        <w:rPr>
          <w:sz w:val="28"/>
          <w:szCs w:val="28"/>
        </w:rPr>
        <w:lastRenderedPageBreak/>
        <w:t>И</w:t>
      </w:r>
      <w:r w:rsidR="002B391B">
        <w:rPr>
          <w:sz w:val="28"/>
          <w:szCs w:val="28"/>
        </w:rPr>
        <w:t>зменения неналоговых доходов представлен</w:t>
      </w:r>
      <w:r w:rsidR="00C62391">
        <w:rPr>
          <w:sz w:val="28"/>
          <w:szCs w:val="28"/>
        </w:rPr>
        <w:t>ы</w:t>
      </w:r>
      <w:r w:rsidR="002B391B">
        <w:rPr>
          <w:sz w:val="28"/>
          <w:szCs w:val="28"/>
        </w:rPr>
        <w:t xml:space="preserve"> в таблице № </w:t>
      </w:r>
      <w:r w:rsidR="009E6829">
        <w:rPr>
          <w:sz w:val="28"/>
          <w:szCs w:val="28"/>
        </w:rPr>
        <w:t>3</w:t>
      </w:r>
      <w:r w:rsidR="002B391B">
        <w:rPr>
          <w:sz w:val="28"/>
          <w:szCs w:val="28"/>
        </w:rPr>
        <w:t>.</w:t>
      </w:r>
    </w:p>
    <w:p w:rsidR="002B391B" w:rsidRDefault="002B391B" w:rsidP="002B391B">
      <w:pPr>
        <w:ind w:firstLine="709"/>
        <w:jc w:val="right"/>
        <w:rPr>
          <w:i/>
          <w:sz w:val="22"/>
          <w:szCs w:val="22"/>
        </w:rPr>
      </w:pPr>
      <w:r w:rsidRPr="00D77BE8">
        <w:rPr>
          <w:i/>
          <w:sz w:val="22"/>
          <w:szCs w:val="22"/>
        </w:rPr>
        <w:t xml:space="preserve">Таблица № </w:t>
      </w:r>
      <w:r w:rsidR="001D7118">
        <w:rPr>
          <w:i/>
          <w:sz w:val="22"/>
          <w:szCs w:val="22"/>
        </w:rPr>
        <w:t>3</w:t>
      </w:r>
      <w:r w:rsidRPr="00D77BE8">
        <w:rPr>
          <w:i/>
          <w:sz w:val="22"/>
          <w:szCs w:val="22"/>
        </w:rPr>
        <w:t>, тыс. руб.</w:t>
      </w:r>
    </w:p>
    <w:tbl>
      <w:tblPr>
        <w:tblW w:w="10520" w:type="dxa"/>
        <w:tblLayout w:type="fixed"/>
        <w:tblCellMar>
          <w:left w:w="30" w:type="dxa"/>
          <w:right w:w="30" w:type="dxa"/>
        </w:tblCellMar>
        <w:tblLook w:val="0000" w:firstRow="0" w:lastRow="0" w:firstColumn="0" w:lastColumn="0" w:noHBand="0" w:noVBand="0"/>
      </w:tblPr>
      <w:tblGrid>
        <w:gridCol w:w="3716"/>
        <w:gridCol w:w="1843"/>
        <w:gridCol w:w="1559"/>
        <w:gridCol w:w="1559"/>
        <w:gridCol w:w="1843"/>
      </w:tblGrid>
      <w:tr w:rsidR="00CE3BDD" w:rsidRPr="00880D48" w:rsidTr="00D81E01">
        <w:trPr>
          <w:trHeight w:val="978"/>
        </w:trPr>
        <w:tc>
          <w:tcPr>
            <w:tcW w:w="3716" w:type="dxa"/>
            <w:tcBorders>
              <w:top w:val="single" w:sz="6" w:space="0" w:color="auto"/>
              <w:left w:val="single" w:sz="6" w:space="0" w:color="auto"/>
              <w:bottom w:val="single" w:sz="6" w:space="0" w:color="auto"/>
              <w:right w:val="single" w:sz="6" w:space="0" w:color="auto"/>
            </w:tcBorders>
          </w:tcPr>
          <w:p w:rsidR="00CE3BDD" w:rsidRPr="00253E9B" w:rsidRDefault="00CE3BDD" w:rsidP="00F778D1">
            <w:pPr>
              <w:autoSpaceDE w:val="0"/>
              <w:autoSpaceDN w:val="0"/>
              <w:adjustRightInd w:val="0"/>
              <w:jc w:val="center"/>
              <w:rPr>
                <w:color w:val="000000"/>
                <w:sz w:val="20"/>
                <w:szCs w:val="20"/>
              </w:rPr>
            </w:pPr>
            <w:r w:rsidRPr="00253E9B">
              <w:rPr>
                <w:color w:val="000000"/>
                <w:sz w:val="20"/>
                <w:szCs w:val="20"/>
              </w:rPr>
              <w:t>Наименование доходов</w:t>
            </w:r>
          </w:p>
        </w:tc>
        <w:tc>
          <w:tcPr>
            <w:tcW w:w="1843" w:type="dxa"/>
            <w:tcBorders>
              <w:top w:val="single" w:sz="6" w:space="0" w:color="auto"/>
              <w:left w:val="single" w:sz="6" w:space="0" w:color="auto"/>
              <w:bottom w:val="single" w:sz="6" w:space="0" w:color="auto"/>
              <w:right w:val="single" w:sz="6" w:space="0" w:color="auto"/>
            </w:tcBorders>
          </w:tcPr>
          <w:p w:rsidR="00CE3BDD" w:rsidRPr="00253E9B" w:rsidRDefault="00D81E01" w:rsidP="00B174D0">
            <w:pPr>
              <w:autoSpaceDE w:val="0"/>
              <w:autoSpaceDN w:val="0"/>
              <w:adjustRightInd w:val="0"/>
              <w:jc w:val="center"/>
              <w:rPr>
                <w:color w:val="000000"/>
                <w:sz w:val="20"/>
                <w:szCs w:val="20"/>
              </w:rPr>
            </w:pPr>
            <w:r w:rsidRPr="00253E9B">
              <w:rPr>
                <w:b/>
                <w:color w:val="000000"/>
                <w:sz w:val="20"/>
                <w:szCs w:val="20"/>
              </w:rPr>
              <w:t>Утвержденный</w:t>
            </w:r>
            <w:r w:rsidR="00B174D0" w:rsidRPr="00253E9B">
              <w:rPr>
                <w:b/>
                <w:color w:val="000000"/>
                <w:sz w:val="20"/>
                <w:szCs w:val="20"/>
              </w:rPr>
              <w:t xml:space="preserve"> план поступлений за 2020 год</w:t>
            </w:r>
          </w:p>
        </w:tc>
        <w:tc>
          <w:tcPr>
            <w:tcW w:w="1559" w:type="dxa"/>
            <w:tcBorders>
              <w:top w:val="single" w:sz="6" w:space="0" w:color="auto"/>
              <w:left w:val="single" w:sz="6" w:space="0" w:color="auto"/>
              <w:bottom w:val="single" w:sz="6" w:space="0" w:color="auto"/>
              <w:right w:val="single" w:sz="6" w:space="0" w:color="auto"/>
            </w:tcBorders>
          </w:tcPr>
          <w:p w:rsidR="00CE3BDD" w:rsidRPr="00253E9B" w:rsidRDefault="00CE3BDD" w:rsidP="00B174D0">
            <w:pPr>
              <w:autoSpaceDE w:val="0"/>
              <w:autoSpaceDN w:val="0"/>
              <w:adjustRightInd w:val="0"/>
              <w:jc w:val="center"/>
              <w:rPr>
                <w:color w:val="000000"/>
                <w:sz w:val="20"/>
                <w:szCs w:val="20"/>
              </w:rPr>
            </w:pPr>
            <w:r w:rsidRPr="00253E9B">
              <w:rPr>
                <w:b/>
                <w:sz w:val="20"/>
                <w:szCs w:val="20"/>
              </w:rPr>
              <w:t>Ожидаемое исполнение за 20</w:t>
            </w:r>
            <w:r w:rsidR="00B174D0" w:rsidRPr="00253E9B">
              <w:rPr>
                <w:b/>
                <w:sz w:val="20"/>
                <w:szCs w:val="20"/>
              </w:rPr>
              <w:t>20</w:t>
            </w:r>
            <w:r w:rsidRPr="00253E9B">
              <w:rPr>
                <w:b/>
                <w:sz w:val="20"/>
                <w:szCs w:val="20"/>
              </w:rPr>
              <w:t xml:space="preserve"> год</w:t>
            </w:r>
          </w:p>
        </w:tc>
        <w:tc>
          <w:tcPr>
            <w:tcW w:w="1559" w:type="dxa"/>
            <w:tcBorders>
              <w:top w:val="single" w:sz="6" w:space="0" w:color="auto"/>
              <w:left w:val="single" w:sz="6" w:space="0" w:color="auto"/>
              <w:bottom w:val="single" w:sz="6" w:space="0" w:color="auto"/>
              <w:right w:val="single" w:sz="6" w:space="0" w:color="auto"/>
            </w:tcBorders>
          </w:tcPr>
          <w:p w:rsidR="00CE3BDD" w:rsidRPr="00253E9B" w:rsidRDefault="00CE3BDD" w:rsidP="00F778D1">
            <w:pPr>
              <w:autoSpaceDE w:val="0"/>
              <w:autoSpaceDN w:val="0"/>
              <w:adjustRightInd w:val="0"/>
              <w:jc w:val="center"/>
              <w:rPr>
                <w:b/>
                <w:color w:val="000000"/>
                <w:sz w:val="20"/>
                <w:szCs w:val="20"/>
              </w:rPr>
            </w:pPr>
            <w:r w:rsidRPr="00253E9B">
              <w:rPr>
                <w:b/>
                <w:color w:val="000000"/>
                <w:sz w:val="20"/>
                <w:szCs w:val="20"/>
              </w:rPr>
              <w:t xml:space="preserve">Проект </w:t>
            </w:r>
          </w:p>
          <w:p w:rsidR="00CE3BDD" w:rsidRPr="00253E9B" w:rsidRDefault="00CE3BDD" w:rsidP="00B174D0">
            <w:pPr>
              <w:autoSpaceDE w:val="0"/>
              <w:autoSpaceDN w:val="0"/>
              <w:adjustRightInd w:val="0"/>
              <w:jc w:val="center"/>
              <w:rPr>
                <w:b/>
                <w:color w:val="000000"/>
                <w:sz w:val="20"/>
                <w:szCs w:val="20"/>
              </w:rPr>
            </w:pPr>
            <w:r w:rsidRPr="00253E9B">
              <w:rPr>
                <w:b/>
                <w:color w:val="000000"/>
                <w:sz w:val="20"/>
                <w:szCs w:val="20"/>
              </w:rPr>
              <w:t>20</w:t>
            </w:r>
            <w:r w:rsidR="00337886" w:rsidRPr="00253E9B">
              <w:rPr>
                <w:b/>
                <w:color w:val="000000"/>
                <w:sz w:val="20"/>
                <w:szCs w:val="20"/>
              </w:rPr>
              <w:t>2</w:t>
            </w:r>
            <w:r w:rsidR="00B174D0" w:rsidRPr="00253E9B">
              <w:rPr>
                <w:b/>
                <w:color w:val="000000"/>
                <w:sz w:val="20"/>
                <w:szCs w:val="20"/>
              </w:rPr>
              <w:t>1</w:t>
            </w:r>
            <w:r w:rsidRPr="00253E9B">
              <w:rPr>
                <w:b/>
                <w:color w:val="000000"/>
                <w:sz w:val="20"/>
                <w:szCs w:val="20"/>
              </w:rPr>
              <w:t xml:space="preserve"> год</w:t>
            </w:r>
          </w:p>
        </w:tc>
        <w:tc>
          <w:tcPr>
            <w:tcW w:w="1843" w:type="dxa"/>
            <w:tcBorders>
              <w:top w:val="single" w:sz="6" w:space="0" w:color="auto"/>
              <w:left w:val="single" w:sz="6" w:space="0" w:color="auto"/>
              <w:bottom w:val="single" w:sz="6" w:space="0" w:color="auto"/>
              <w:right w:val="single" w:sz="6" w:space="0" w:color="auto"/>
            </w:tcBorders>
          </w:tcPr>
          <w:p w:rsidR="00CE3BDD" w:rsidRPr="00253E9B" w:rsidRDefault="00CE3BDD" w:rsidP="00B174D0">
            <w:pPr>
              <w:autoSpaceDE w:val="0"/>
              <w:autoSpaceDN w:val="0"/>
              <w:adjustRightInd w:val="0"/>
              <w:jc w:val="center"/>
              <w:rPr>
                <w:b/>
                <w:color w:val="000000"/>
                <w:sz w:val="20"/>
                <w:szCs w:val="20"/>
              </w:rPr>
            </w:pPr>
            <w:r w:rsidRPr="00253E9B">
              <w:rPr>
                <w:b/>
                <w:sz w:val="20"/>
                <w:szCs w:val="20"/>
              </w:rPr>
              <w:t>Отношение к ожидаемому исполнению за 20</w:t>
            </w:r>
            <w:r w:rsidR="00B174D0" w:rsidRPr="00253E9B">
              <w:rPr>
                <w:b/>
                <w:sz w:val="20"/>
                <w:szCs w:val="20"/>
              </w:rPr>
              <w:t>20</w:t>
            </w:r>
            <w:r w:rsidRPr="00253E9B">
              <w:rPr>
                <w:b/>
                <w:sz w:val="20"/>
                <w:szCs w:val="20"/>
              </w:rPr>
              <w:t xml:space="preserve"> г</w:t>
            </w:r>
            <w:proofErr w:type="gramStart"/>
            <w:r w:rsidRPr="00253E9B">
              <w:rPr>
                <w:b/>
                <w:sz w:val="20"/>
                <w:szCs w:val="20"/>
              </w:rPr>
              <w:t>. (%)</w:t>
            </w:r>
            <w:proofErr w:type="gramEnd"/>
          </w:p>
        </w:tc>
      </w:tr>
      <w:tr w:rsidR="00CE3BDD" w:rsidRPr="00880D48" w:rsidTr="00D81E01">
        <w:trPr>
          <w:trHeight w:val="290"/>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b/>
                <w:bCs/>
                <w:color w:val="000000"/>
                <w:sz w:val="22"/>
                <w:szCs w:val="22"/>
              </w:rPr>
            </w:pPr>
            <w:r w:rsidRPr="005D6B24">
              <w:rPr>
                <w:b/>
                <w:bCs/>
                <w:color w:val="000000"/>
                <w:sz w:val="22"/>
                <w:szCs w:val="22"/>
              </w:rPr>
              <w:t>Неналоговые доходы</w:t>
            </w:r>
          </w:p>
        </w:tc>
        <w:tc>
          <w:tcPr>
            <w:tcW w:w="1843"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jc w:val="right"/>
              <w:rPr>
                <w:b/>
                <w:bCs/>
                <w:color w:val="000000"/>
                <w:sz w:val="22"/>
                <w:szCs w:val="22"/>
              </w:rPr>
            </w:pPr>
          </w:p>
        </w:tc>
        <w:tc>
          <w:tcPr>
            <w:tcW w:w="1559"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jc w:val="right"/>
              <w:rPr>
                <w:b/>
                <w:bCs/>
                <w:color w:val="000000"/>
                <w:sz w:val="22"/>
                <w:szCs w:val="22"/>
              </w:rPr>
            </w:pPr>
          </w:p>
        </w:tc>
        <w:tc>
          <w:tcPr>
            <w:tcW w:w="1559"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jc w:val="right"/>
              <w:rPr>
                <w:b/>
                <w:bCs/>
                <w:color w:val="000000"/>
                <w:sz w:val="22"/>
                <w:szCs w:val="22"/>
              </w:rPr>
            </w:pPr>
          </w:p>
        </w:tc>
        <w:tc>
          <w:tcPr>
            <w:tcW w:w="1843"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jc w:val="right"/>
              <w:rPr>
                <w:b/>
                <w:bCs/>
                <w:color w:val="000000"/>
                <w:sz w:val="22"/>
                <w:szCs w:val="22"/>
              </w:rPr>
            </w:pPr>
          </w:p>
        </w:tc>
      </w:tr>
      <w:tr w:rsidR="00CE3BDD" w:rsidRPr="00880D48" w:rsidTr="005D6B24">
        <w:trPr>
          <w:trHeight w:val="782"/>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color w:val="000000"/>
                <w:sz w:val="22"/>
                <w:szCs w:val="22"/>
              </w:rPr>
            </w:pPr>
            <w:r w:rsidRPr="005D6B24">
              <w:rPr>
                <w:color w:val="000000"/>
                <w:sz w:val="22"/>
                <w:szCs w:val="22"/>
              </w:rPr>
              <w:t>Доходы от использования имущества, находящегося в государственной и муниципальной собственности</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148 248,0</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153 463,9</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F060E9" w:rsidP="00F778D1">
            <w:pPr>
              <w:autoSpaceDE w:val="0"/>
              <w:autoSpaceDN w:val="0"/>
              <w:adjustRightInd w:val="0"/>
              <w:jc w:val="right"/>
              <w:rPr>
                <w:color w:val="000000"/>
                <w:sz w:val="22"/>
                <w:szCs w:val="22"/>
              </w:rPr>
            </w:pPr>
            <w:r w:rsidRPr="005D6B24">
              <w:rPr>
                <w:color w:val="000000"/>
                <w:sz w:val="22"/>
                <w:szCs w:val="22"/>
              </w:rPr>
              <w:t>150 362,0</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3404FE" w:rsidP="00F778D1">
            <w:pPr>
              <w:autoSpaceDE w:val="0"/>
              <w:autoSpaceDN w:val="0"/>
              <w:adjustRightInd w:val="0"/>
              <w:jc w:val="right"/>
              <w:rPr>
                <w:b/>
                <w:bCs/>
                <w:color w:val="000000"/>
                <w:sz w:val="22"/>
                <w:szCs w:val="22"/>
              </w:rPr>
            </w:pPr>
            <w:r w:rsidRPr="005D6B24">
              <w:rPr>
                <w:b/>
                <w:bCs/>
                <w:color w:val="000000"/>
                <w:sz w:val="22"/>
                <w:szCs w:val="22"/>
              </w:rPr>
              <w:t>98</w:t>
            </w:r>
            <w:r w:rsidR="00AC597A" w:rsidRPr="005D6B24">
              <w:rPr>
                <w:b/>
                <w:bCs/>
                <w:color w:val="000000"/>
                <w:sz w:val="22"/>
                <w:szCs w:val="22"/>
              </w:rPr>
              <w:t>,0</w:t>
            </w:r>
          </w:p>
        </w:tc>
      </w:tr>
      <w:tr w:rsidR="00CE3BDD" w:rsidRPr="00880D48" w:rsidTr="00D81E01">
        <w:trPr>
          <w:trHeight w:val="581"/>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color w:val="000000"/>
                <w:sz w:val="22"/>
                <w:szCs w:val="22"/>
              </w:rPr>
            </w:pPr>
            <w:r w:rsidRPr="005D6B24">
              <w:rPr>
                <w:color w:val="000000"/>
                <w:sz w:val="22"/>
                <w:szCs w:val="22"/>
              </w:rPr>
              <w:t>Платежи при пользовании природными ресурсами</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26 946,0</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4 886,5</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F060E9" w:rsidP="00F778D1">
            <w:pPr>
              <w:autoSpaceDE w:val="0"/>
              <w:autoSpaceDN w:val="0"/>
              <w:adjustRightInd w:val="0"/>
              <w:jc w:val="right"/>
              <w:rPr>
                <w:color w:val="000000"/>
                <w:sz w:val="22"/>
                <w:szCs w:val="22"/>
              </w:rPr>
            </w:pPr>
            <w:r w:rsidRPr="005D6B24">
              <w:rPr>
                <w:color w:val="000000"/>
                <w:sz w:val="22"/>
                <w:szCs w:val="22"/>
              </w:rPr>
              <w:t>8 283,0</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3404FE" w:rsidP="00F778D1">
            <w:pPr>
              <w:autoSpaceDE w:val="0"/>
              <w:autoSpaceDN w:val="0"/>
              <w:adjustRightInd w:val="0"/>
              <w:jc w:val="right"/>
              <w:rPr>
                <w:b/>
                <w:bCs/>
                <w:color w:val="000000"/>
                <w:sz w:val="22"/>
                <w:szCs w:val="22"/>
              </w:rPr>
            </w:pPr>
            <w:r w:rsidRPr="005D6B24">
              <w:rPr>
                <w:b/>
                <w:bCs/>
                <w:color w:val="000000"/>
                <w:sz w:val="22"/>
                <w:szCs w:val="22"/>
              </w:rPr>
              <w:t>увеличение в 1,7 раза</w:t>
            </w:r>
          </w:p>
        </w:tc>
      </w:tr>
      <w:tr w:rsidR="00CE3BDD" w:rsidRPr="00880D48" w:rsidTr="00D81E01">
        <w:trPr>
          <w:trHeight w:val="581"/>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color w:val="000000"/>
                <w:sz w:val="22"/>
                <w:szCs w:val="22"/>
              </w:rPr>
            </w:pPr>
            <w:r w:rsidRPr="005D6B24">
              <w:rPr>
                <w:color w:val="000000"/>
                <w:sz w:val="22"/>
                <w:szCs w:val="22"/>
              </w:rPr>
              <w:t>Доходы от оказания платных услуг и компенсации затрат государства</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20 235,0</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20 359,8</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F060E9" w:rsidP="00F778D1">
            <w:pPr>
              <w:autoSpaceDE w:val="0"/>
              <w:autoSpaceDN w:val="0"/>
              <w:adjustRightInd w:val="0"/>
              <w:jc w:val="right"/>
              <w:rPr>
                <w:color w:val="000000"/>
                <w:sz w:val="22"/>
                <w:szCs w:val="22"/>
              </w:rPr>
            </w:pPr>
            <w:r w:rsidRPr="005D6B24">
              <w:rPr>
                <w:color w:val="000000"/>
                <w:sz w:val="22"/>
                <w:szCs w:val="22"/>
              </w:rPr>
              <w:t>16 335,0</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3404FE" w:rsidP="00F778D1">
            <w:pPr>
              <w:autoSpaceDE w:val="0"/>
              <w:autoSpaceDN w:val="0"/>
              <w:adjustRightInd w:val="0"/>
              <w:jc w:val="right"/>
              <w:rPr>
                <w:b/>
                <w:bCs/>
                <w:color w:val="000000"/>
                <w:sz w:val="22"/>
                <w:szCs w:val="22"/>
              </w:rPr>
            </w:pPr>
            <w:r w:rsidRPr="005D6B24">
              <w:rPr>
                <w:b/>
                <w:bCs/>
                <w:color w:val="000000"/>
                <w:sz w:val="22"/>
                <w:szCs w:val="22"/>
              </w:rPr>
              <w:t>80,2</w:t>
            </w:r>
          </w:p>
        </w:tc>
      </w:tr>
      <w:tr w:rsidR="00CE3BDD" w:rsidRPr="00880D48" w:rsidTr="00D81E01">
        <w:trPr>
          <w:trHeight w:val="581"/>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color w:val="000000"/>
                <w:sz w:val="22"/>
                <w:szCs w:val="22"/>
              </w:rPr>
            </w:pPr>
            <w:r w:rsidRPr="005D6B24">
              <w:rPr>
                <w:color w:val="000000"/>
                <w:sz w:val="22"/>
                <w:szCs w:val="22"/>
              </w:rPr>
              <w:t>Доходы от продажи материальных и нематериальных активов</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9 155,0</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8 269,2</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F060E9" w:rsidP="00F778D1">
            <w:pPr>
              <w:autoSpaceDE w:val="0"/>
              <w:autoSpaceDN w:val="0"/>
              <w:adjustRightInd w:val="0"/>
              <w:jc w:val="right"/>
              <w:rPr>
                <w:color w:val="000000"/>
                <w:sz w:val="22"/>
                <w:szCs w:val="22"/>
              </w:rPr>
            </w:pPr>
            <w:r w:rsidRPr="005D6B24">
              <w:rPr>
                <w:color w:val="000000"/>
                <w:sz w:val="22"/>
                <w:szCs w:val="22"/>
              </w:rPr>
              <w:t>3 922,0</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3404FE" w:rsidP="00F778D1">
            <w:pPr>
              <w:autoSpaceDE w:val="0"/>
              <w:autoSpaceDN w:val="0"/>
              <w:adjustRightInd w:val="0"/>
              <w:jc w:val="right"/>
              <w:rPr>
                <w:b/>
                <w:bCs/>
                <w:color w:val="000000"/>
                <w:sz w:val="22"/>
                <w:szCs w:val="22"/>
              </w:rPr>
            </w:pPr>
            <w:r w:rsidRPr="005D6B24">
              <w:rPr>
                <w:b/>
                <w:bCs/>
                <w:color w:val="000000"/>
                <w:sz w:val="22"/>
                <w:szCs w:val="22"/>
              </w:rPr>
              <w:t>47,4</w:t>
            </w:r>
          </w:p>
        </w:tc>
      </w:tr>
      <w:tr w:rsidR="00CE3BDD" w:rsidRPr="00880D48" w:rsidTr="00D81E01">
        <w:trPr>
          <w:trHeight w:val="581"/>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color w:val="000000"/>
                <w:sz w:val="22"/>
                <w:szCs w:val="22"/>
              </w:rPr>
            </w:pPr>
            <w:r w:rsidRPr="005D6B24">
              <w:rPr>
                <w:color w:val="000000"/>
                <w:sz w:val="22"/>
                <w:szCs w:val="22"/>
              </w:rPr>
              <w:t>Штрафы, санкции, возмещение ущерба</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14 000,0</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14 565,4</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F060E9" w:rsidP="00F778D1">
            <w:pPr>
              <w:autoSpaceDE w:val="0"/>
              <w:autoSpaceDN w:val="0"/>
              <w:adjustRightInd w:val="0"/>
              <w:jc w:val="right"/>
              <w:rPr>
                <w:color w:val="000000"/>
                <w:sz w:val="22"/>
                <w:szCs w:val="22"/>
              </w:rPr>
            </w:pPr>
            <w:r w:rsidRPr="005D6B24">
              <w:rPr>
                <w:color w:val="000000"/>
                <w:sz w:val="22"/>
                <w:szCs w:val="22"/>
              </w:rPr>
              <w:t>15 000,0</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3404FE" w:rsidP="00F778D1">
            <w:pPr>
              <w:autoSpaceDE w:val="0"/>
              <w:autoSpaceDN w:val="0"/>
              <w:adjustRightInd w:val="0"/>
              <w:jc w:val="right"/>
              <w:rPr>
                <w:b/>
                <w:bCs/>
                <w:color w:val="000000"/>
                <w:sz w:val="22"/>
                <w:szCs w:val="22"/>
              </w:rPr>
            </w:pPr>
            <w:r w:rsidRPr="005D6B24">
              <w:rPr>
                <w:b/>
                <w:bCs/>
                <w:color w:val="000000"/>
                <w:sz w:val="22"/>
                <w:szCs w:val="22"/>
              </w:rPr>
              <w:t>103,0</w:t>
            </w:r>
          </w:p>
        </w:tc>
      </w:tr>
      <w:tr w:rsidR="00CE3BDD" w:rsidRPr="00880D48" w:rsidTr="00D81E01">
        <w:trPr>
          <w:trHeight w:val="290"/>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color w:val="000000"/>
                <w:sz w:val="22"/>
                <w:szCs w:val="22"/>
              </w:rPr>
            </w:pPr>
            <w:r w:rsidRPr="005D6B24">
              <w:rPr>
                <w:color w:val="000000"/>
                <w:sz w:val="22"/>
                <w:szCs w:val="22"/>
              </w:rPr>
              <w:t>Прочие неналоговые доходы</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2 351,0</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A96B18" w:rsidP="00F778D1">
            <w:pPr>
              <w:autoSpaceDE w:val="0"/>
              <w:autoSpaceDN w:val="0"/>
              <w:adjustRightInd w:val="0"/>
              <w:jc w:val="right"/>
              <w:rPr>
                <w:color w:val="000000"/>
                <w:sz w:val="22"/>
                <w:szCs w:val="22"/>
              </w:rPr>
            </w:pPr>
            <w:r w:rsidRPr="005D6B24">
              <w:rPr>
                <w:color w:val="000000"/>
                <w:sz w:val="22"/>
                <w:szCs w:val="22"/>
              </w:rPr>
              <w:t>2 100,4</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F060E9" w:rsidP="00F778D1">
            <w:pPr>
              <w:autoSpaceDE w:val="0"/>
              <w:autoSpaceDN w:val="0"/>
              <w:adjustRightInd w:val="0"/>
              <w:jc w:val="right"/>
              <w:rPr>
                <w:color w:val="000000"/>
                <w:sz w:val="22"/>
                <w:szCs w:val="22"/>
              </w:rPr>
            </w:pPr>
            <w:r w:rsidRPr="005D6B24">
              <w:rPr>
                <w:color w:val="000000"/>
                <w:sz w:val="22"/>
                <w:szCs w:val="22"/>
              </w:rPr>
              <w:t>1 797,0</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3404FE" w:rsidP="00F778D1">
            <w:pPr>
              <w:autoSpaceDE w:val="0"/>
              <w:autoSpaceDN w:val="0"/>
              <w:adjustRightInd w:val="0"/>
              <w:jc w:val="right"/>
              <w:rPr>
                <w:b/>
                <w:bCs/>
                <w:color w:val="000000"/>
                <w:sz w:val="22"/>
                <w:szCs w:val="22"/>
              </w:rPr>
            </w:pPr>
            <w:r w:rsidRPr="005D6B24">
              <w:rPr>
                <w:b/>
                <w:bCs/>
                <w:color w:val="000000"/>
                <w:sz w:val="22"/>
                <w:szCs w:val="22"/>
              </w:rPr>
              <w:t>85,5</w:t>
            </w:r>
          </w:p>
        </w:tc>
      </w:tr>
      <w:tr w:rsidR="00CE3BDD" w:rsidRPr="00880D48" w:rsidTr="00D81E01">
        <w:trPr>
          <w:trHeight w:val="290"/>
        </w:trPr>
        <w:tc>
          <w:tcPr>
            <w:tcW w:w="3716" w:type="dxa"/>
            <w:tcBorders>
              <w:top w:val="single" w:sz="6" w:space="0" w:color="auto"/>
              <w:left w:val="single" w:sz="6" w:space="0" w:color="auto"/>
              <w:bottom w:val="single" w:sz="6" w:space="0" w:color="auto"/>
              <w:right w:val="single" w:sz="6" w:space="0" w:color="auto"/>
            </w:tcBorders>
          </w:tcPr>
          <w:p w:rsidR="00CE3BDD" w:rsidRPr="005D6B24" w:rsidRDefault="00CE3BDD" w:rsidP="00F778D1">
            <w:pPr>
              <w:autoSpaceDE w:val="0"/>
              <w:autoSpaceDN w:val="0"/>
              <w:adjustRightInd w:val="0"/>
              <w:rPr>
                <w:b/>
                <w:color w:val="000000"/>
                <w:sz w:val="22"/>
                <w:szCs w:val="22"/>
              </w:rPr>
            </w:pPr>
            <w:r w:rsidRPr="005D6B24">
              <w:rPr>
                <w:b/>
                <w:color w:val="000000"/>
                <w:sz w:val="22"/>
                <w:szCs w:val="22"/>
              </w:rPr>
              <w:t>Итого:</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E423A1" w:rsidP="00F778D1">
            <w:pPr>
              <w:autoSpaceDE w:val="0"/>
              <w:autoSpaceDN w:val="0"/>
              <w:adjustRightInd w:val="0"/>
              <w:jc w:val="right"/>
              <w:rPr>
                <w:b/>
                <w:color w:val="000000"/>
                <w:sz w:val="22"/>
                <w:szCs w:val="22"/>
              </w:rPr>
            </w:pPr>
            <w:r w:rsidRPr="005D6B24">
              <w:rPr>
                <w:b/>
                <w:color w:val="000000"/>
                <w:sz w:val="22"/>
                <w:szCs w:val="22"/>
              </w:rPr>
              <w:t>220 935,0</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E423A1" w:rsidP="00F778D1">
            <w:pPr>
              <w:autoSpaceDE w:val="0"/>
              <w:autoSpaceDN w:val="0"/>
              <w:adjustRightInd w:val="0"/>
              <w:jc w:val="right"/>
              <w:rPr>
                <w:b/>
                <w:color w:val="000000"/>
                <w:sz w:val="22"/>
                <w:szCs w:val="22"/>
              </w:rPr>
            </w:pPr>
            <w:r w:rsidRPr="005D6B24">
              <w:rPr>
                <w:b/>
                <w:color w:val="000000"/>
                <w:sz w:val="22"/>
                <w:szCs w:val="22"/>
              </w:rPr>
              <w:t>203 645,2</w:t>
            </w:r>
          </w:p>
        </w:tc>
        <w:tc>
          <w:tcPr>
            <w:tcW w:w="1559" w:type="dxa"/>
            <w:tcBorders>
              <w:top w:val="single" w:sz="6" w:space="0" w:color="auto"/>
              <w:left w:val="single" w:sz="6" w:space="0" w:color="auto"/>
              <w:bottom w:val="single" w:sz="6" w:space="0" w:color="auto"/>
              <w:right w:val="single" w:sz="6" w:space="0" w:color="auto"/>
            </w:tcBorders>
            <w:vAlign w:val="bottom"/>
          </w:tcPr>
          <w:p w:rsidR="00CE3BDD" w:rsidRPr="005D6B24" w:rsidRDefault="00F060E9" w:rsidP="00F778D1">
            <w:pPr>
              <w:autoSpaceDE w:val="0"/>
              <w:autoSpaceDN w:val="0"/>
              <w:adjustRightInd w:val="0"/>
              <w:jc w:val="right"/>
              <w:rPr>
                <w:b/>
                <w:color w:val="000000"/>
                <w:sz w:val="22"/>
                <w:szCs w:val="22"/>
              </w:rPr>
            </w:pPr>
            <w:r w:rsidRPr="005D6B24">
              <w:rPr>
                <w:b/>
                <w:color w:val="000000"/>
                <w:sz w:val="22"/>
                <w:szCs w:val="22"/>
              </w:rPr>
              <w:t>195 699,0</w:t>
            </w:r>
          </w:p>
        </w:tc>
        <w:tc>
          <w:tcPr>
            <w:tcW w:w="1843" w:type="dxa"/>
            <w:tcBorders>
              <w:top w:val="single" w:sz="6" w:space="0" w:color="auto"/>
              <w:left w:val="single" w:sz="6" w:space="0" w:color="auto"/>
              <w:bottom w:val="single" w:sz="6" w:space="0" w:color="auto"/>
              <w:right w:val="single" w:sz="6" w:space="0" w:color="auto"/>
            </w:tcBorders>
            <w:vAlign w:val="bottom"/>
          </w:tcPr>
          <w:p w:rsidR="00CE3BDD" w:rsidRPr="005D6B24" w:rsidRDefault="003404FE" w:rsidP="00F778D1">
            <w:pPr>
              <w:autoSpaceDE w:val="0"/>
              <w:autoSpaceDN w:val="0"/>
              <w:adjustRightInd w:val="0"/>
              <w:jc w:val="right"/>
              <w:rPr>
                <w:b/>
                <w:bCs/>
                <w:color w:val="000000"/>
                <w:sz w:val="22"/>
                <w:szCs w:val="22"/>
              </w:rPr>
            </w:pPr>
            <w:r w:rsidRPr="005D6B24">
              <w:rPr>
                <w:b/>
                <w:bCs/>
                <w:color w:val="000000"/>
                <w:sz w:val="22"/>
                <w:szCs w:val="22"/>
              </w:rPr>
              <w:t>96,1</w:t>
            </w:r>
          </w:p>
        </w:tc>
      </w:tr>
    </w:tbl>
    <w:p w:rsidR="004862FE" w:rsidRPr="000A6E7F" w:rsidRDefault="004862FE" w:rsidP="007565C4">
      <w:pPr>
        <w:pStyle w:val="a5"/>
        <w:numPr>
          <w:ilvl w:val="0"/>
          <w:numId w:val="10"/>
        </w:numPr>
        <w:spacing w:line="360" w:lineRule="exact"/>
        <w:ind w:left="0" w:firstLine="1069"/>
        <w:jc w:val="both"/>
        <w:rPr>
          <w:sz w:val="28"/>
          <w:szCs w:val="28"/>
        </w:rPr>
      </w:pPr>
      <w:r w:rsidRPr="006A0161">
        <w:rPr>
          <w:sz w:val="28"/>
          <w:szCs w:val="28"/>
        </w:rPr>
        <w:t>С</w:t>
      </w:r>
      <w:r w:rsidR="00DB5143" w:rsidRPr="000A6E7F">
        <w:rPr>
          <w:sz w:val="28"/>
          <w:szCs w:val="28"/>
        </w:rPr>
        <w:t xml:space="preserve">нижение плановых поступлений доходов </w:t>
      </w:r>
      <w:r w:rsidRPr="000A6E7F">
        <w:rPr>
          <w:sz w:val="28"/>
          <w:szCs w:val="28"/>
        </w:rPr>
        <w:t>от использования имущества, находящегося в государственной и муниципальной собственности отмечено, в том числе:</w:t>
      </w:r>
    </w:p>
    <w:p w:rsidR="00153528" w:rsidRPr="00556FE3" w:rsidRDefault="008C0FDC" w:rsidP="00605827">
      <w:pPr>
        <w:pStyle w:val="a5"/>
        <w:numPr>
          <w:ilvl w:val="0"/>
          <w:numId w:val="4"/>
        </w:numPr>
        <w:spacing w:line="360" w:lineRule="exact"/>
        <w:ind w:left="0" w:firstLine="1069"/>
        <w:jc w:val="both"/>
        <w:rPr>
          <w:sz w:val="28"/>
          <w:szCs w:val="28"/>
        </w:rPr>
      </w:pPr>
      <w:r w:rsidRPr="00556FE3">
        <w:rPr>
          <w:sz w:val="28"/>
          <w:szCs w:val="28"/>
        </w:rPr>
        <w:t>по арендной плат</w:t>
      </w:r>
      <w:r w:rsidR="00CA0A49" w:rsidRPr="00556FE3">
        <w:rPr>
          <w:sz w:val="28"/>
          <w:szCs w:val="28"/>
        </w:rPr>
        <w:t>е</w:t>
      </w:r>
      <w:r w:rsidRPr="00556FE3">
        <w:rPr>
          <w:sz w:val="28"/>
          <w:szCs w:val="28"/>
        </w:rPr>
        <w:t xml:space="preserve">, </w:t>
      </w:r>
      <w:r w:rsidR="00605827" w:rsidRPr="00605827">
        <w:rPr>
          <w:sz w:val="28"/>
          <w:szCs w:val="28"/>
        </w:rPr>
        <w:t>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sidR="00605827">
        <w:rPr>
          <w:sz w:val="28"/>
          <w:szCs w:val="28"/>
        </w:rPr>
        <w:t>) о</w:t>
      </w:r>
      <w:r w:rsidR="00605827" w:rsidRPr="00605827">
        <w:rPr>
          <w:sz w:val="28"/>
          <w:szCs w:val="28"/>
        </w:rPr>
        <w:t>сновн</w:t>
      </w:r>
      <w:r w:rsidR="00605827">
        <w:rPr>
          <w:sz w:val="28"/>
          <w:szCs w:val="28"/>
        </w:rPr>
        <w:t>ой</w:t>
      </w:r>
      <w:r w:rsidR="00605827" w:rsidRPr="00605827">
        <w:rPr>
          <w:sz w:val="28"/>
          <w:szCs w:val="28"/>
        </w:rPr>
        <w:t xml:space="preserve"> причин</w:t>
      </w:r>
      <w:r w:rsidR="00605827">
        <w:rPr>
          <w:sz w:val="28"/>
          <w:szCs w:val="28"/>
        </w:rPr>
        <w:t>ой</w:t>
      </w:r>
      <w:r w:rsidR="00605827" w:rsidRPr="00605827">
        <w:rPr>
          <w:sz w:val="28"/>
          <w:szCs w:val="28"/>
        </w:rPr>
        <w:t xml:space="preserve"> уменьшения</w:t>
      </w:r>
      <w:r w:rsidR="00605827">
        <w:rPr>
          <w:sz w:val="28"/>
          <w:szCs w:val="28"/>
        </w:rPr>
        <w:t xml:space="preserve"> является не востребованность помещений.</w:t>
      </w:r>
      <w:r w:rsidR="00300948" w:rsidRPr="00556FE3">
        <w:rPr>
          <w:sz w:val="28"/>
          <w:szCs w:val="28"/>
        </w:rPr>
        <w:t xml:space="preserve"> </w:t>
      </w:r>
      <w:r w:rsidR="00605827">
        <w:rPr>
          <w:sz w:val="28"/>
          <w:szCs w:val="28"/>
        </w:rPr>
        <w:t xml:space="preserve"> </w:t>
      </w:r>
    </w:p>
    <w:p w:rsidR="00CE0591" w:rsidRDefault="00565D02" w:rsidP="002A6D4C">
      <w:pPr>
        <w:pStyle w:val="a5"/>
        <w:numPr>
          <w:ilvl w:val="0"/>
          <w:numId w:val="13"/>
        </w:numPr>
        <w:spacing w:line="360" w:lineRule="exact"/>
        <w:ind w:left="0" w:firstLine="1069"/>
        <w:jc w:val="both"/>
        <w:rPr>
          <w:sz w:val="28"/>
          <w:szCs w:val="28"/>
        </w:rPr>
      </w:pPr>
      <w:r>
        <w:rPr>
          <w:sz w:val="28"/>
          <w:szCs w:val="28"/>
        </w:rPr>
        <w:t>п</w:t>
      </w:r>
      <w:r w:rsidRPr="00DD7E62">
        <w:rPr>
          <w:sz w:val="28"/>
          <w:szCs w:val="28"/>
        </w:rPr>
        <w:t>рогноз поступлений части прибыли</w:t>
      </w:r>
      <w:r>
        <w:rPr>
          <w:sz w:val="28"/>
          <w:szCs w:val="28"/>
        </w:rPr>
        <w:t>,</w:t>
      </w:r>
      <w:r w:rsidRPr="00DD7E62">
        <w:rPr>
          <w:sz w:val="28"/>
          <w:szCs w:val="28"/>
        </w:rPr>
        <w:t xml:space="preserve"> </w:t>
      </w:r>
      <w:r w:rsidRPr="00BD4B80">
        <w:rPr>
          <w:sz w:val="28"/>
          <w:szCs w:val="28"/>
        </w:rPr>
        <w:t>остающейся после уплаты налогов и иных обязательных платежей</w:t>
      </w:r>
      <w:r w:rsidR="0051649B">
        <w:rPr>
          <w:sz w:val="28"/>
          <w:szCs w:val="28"/>
        </w:rPr>
        <w:t>,</w:t>
      </w:r>
      <w:r w:rsidRPr="00BD4B80">
        <w:rPr>
          <w:sz w:val="28"/>
          <w:szCs w:val="28"/>
        </w:rPr>
        <w:t xml:space="preserve"> </w:t>
      </w:r>
      <w:r w:rsidRPr="00DD7E62">
        <w:rPr>
          <w:sz w:val="28"/>
          <w:szCs w:val="28"/>
        </w:rPr>
        <w:t xml:space="preserve">определен </w:t>
      </w:r>
      <w:r w:rsidR="00604D6D">
        <w:rPr>
          <w:sz w:val="28"/>
          <w:szCs w:val="28"/>
        </w:rPr>
        <w:t>на основе</w:t>
      </w:r>
      <w:r w:rsidRPr="00DD7E62">
        <w:rPr>
          <w:sz w:val="28"/>
          <w:szCs w:val="28"/>
        </w:rPr>
        <w:t xml:space="preserve"> </w:t>
      </w:r>
      <w:r>
        <w:rPr>
          <w:sz w:val="28"/>
          <w:szCs w:val="28"/>
        </w:rPr>
        <w:t xml:space="preserve">данных, представленных </w:t>
      </w:r>
      <w:r w:rsidRPr="00963ACA">
        <w:rPr>
          <w:sz w:val="28"/>
          <w:szCs w:val="28"/>
        </w:rPr>
        <w:t>муниципальны</w:t>
      </w:r>
      <w:r>
        <w:rPr>
          <w:sz w:val="28"/>
          <w:szCs w:val="28"/>
        </w:rPr>
        <w:t>ми</w:t>
      </w:r>
      <w:r w:rsidRPr="00963ACA">
        <w:rPr>
          <w:sz w:val="28"/>
          <w:szCs w:val="28"/>
        </w:rPr>
        <w:t xml:space="preserve"> унитарны</w:t>
      </w:r>
      <w:r>
        <w:rPr>
          <w:sz w:val="28"/>
          <w:szCs w:val="28"/>
        </w:rPr>
        <w:t>ми</w:t>
      </w:r>
      <w:r w:rsidRPr="00963ACA">
        <w:rPr>
          <w:sz w:val="28"/>
          <w:szCs w:val="28"/>
        </w:rPr>
        <w:t xml:space="preserve"> </w:t>
      </w:r>
      <w:r>
        <w:rPr>
          <w:sz w:val="28"/>
          <w:szCs w:val="28"/>
        </w:rPr>
        <w:t>предприятиями</w:t>
      </w:r>
      <w:r w:rsidR="00926DE4">
        <w:rPr>
          <w:sz w:val="28"/>
          <w:szCs w:val="28"/>
        </w:rPr>
        <w:t xml:space="preserve">. </w:t>
      </w:r>
    </w:p>
    <w:p w:rsidR="00605C78" w:rsidRDefault="00CE0591" w:rsidP="002A6D4C">
      <w:pPr>
        <w:pStyle w:val="a5"/>
        <w:spacing w:line="360" w:lineRule="exact"/>
        <w:ind w:left="0"/>
        <w:jc w:val="both"/>
        <w:rPr>
          <w:sz w:val="28"/>
          <w:szCs w:val="28"/>
        </w:rPr>
      </w:pPr>
      <w:r>
        <w:rPr>
          <w:sz w:val="28"/>
          <w:szCs w:val="28"/>
        </w:rPr>
        <w:tab/>
      </w:r>
      <w:proofErr w:type="gramStart"/>
      <w:r w:rsidR="00926DE4" w:rsidRPr="00CE0591">
        <w:rPr>
          <w:sz w:val="28"/>
          <w:szCs w:val="28"/>
        </w:rPr>
        <w:t xml:space="preserve">При этом не </w:t>
      </w:r>
      <w:r w:rsidR="00927FFE" w:rsidRPr="00CE0591">
        <w:rPr>
          <w:sz w:val="28"/>
          <w:szCs w:val="28"/>
        </w:rPr>
        <w:t>учт</w:t>
      </w:r>
      <w:r w:rsidR="00926DE4" w:rsidRPr="00CE0591">
        <w:rPr>
          <w:sz w:val="28"/>
          <w:szCs w:val="28"/>
        </w:rPr>
        <w:t>ены</w:t>
      </w:r>
      <w:r w:rsidR="00927FFE" w:rsidRPr="00CE0591">
        <w:rPr>
          <w:sz w:val="28"/>
          <w:szCs w:val="28"/>
        </w:rPr>
        <w:t xml:space="preserve"> изменени</w:t>
      </w:r>
      <w:r w:rsidR="00926DE4" w:rsidRPr="00CE0591">
        <w:rPr>
          <w:sz w:val="28"/>
          <w:szCs w:val="28"/>
        </w:rPr>
        <w:t>я</w:t>
      </w:r>
      <w:r w:rsidR="00927FFE" w:rsidRPr="00CE0591">
        <w:rPr>
          <w:sz w:val="28"/>
          <w:szCs w:val="28"/>
        </w:rPr>
        <w:t>,</w:t>
      </w:r>
      <w:r w:rsidR="00BC2070" w:rsidRPr="00CE0591">
        <w:rPr>
          <w:sz w:val="28"/>
          <w:szCs w:val="28"/>
        </w:rPr>
        <w:t xml:space="preserve"> внесенны</w:t>
      </w:r>
      <w:r w:rsidR="00926DE4" w:rsidRPr="00CE0591">
        <w:rPr>
          <w:sz w:val="28"/>
          <w:szCs w:val="28"/>
        </w:rPr>
        <w:t>е</w:t>
      </w:r>
      <w:r w:rsidR="00BC2070" w:rsidRPr="00CE0591">
        <w:rPr>
          <w:sz w:val="28"/>
          <w:szCs w:val="28"/>
        </w:rPr>
        <w:t xml:space="preserve"> в </w:t>
      </w:r>
      <w:r w:rsidR="0095130C" w:rsidRPr="00CE0591">
        <w:rPr>
          <w:sz w:val="28"/>
          <w:szCs w:val="28"/>
        </w:rPr>
        <w:t>Порядок определения размера части прибыли муниципальных унитарных предприятий, остающейся после уплаты налогов и иных обязательных платежей и подлежащей перечислению в бюджет Соликамского городского округа, утвержденный решением Соликамской городской Думы от 27.02.2008 № 302</w:t>
      </w:r>
      <w:r w:rsidR="005020A0" w:rsidRPr="00CE0591">
        <w:rPr>
          <w:sz w:val="28"/>
          <w:szCs w:val="28"/>
        </w:rPr>
        <w:t>.</w:t>
      </w:r>
      <w:proofErr w:type="gramEnd"/>
    </w:p>
    <w:p w:rsidR="00CE0591" w:rsidRDefault="00605C78" w:rsidP="002A6D4C">
      <w:pPr>
        <w:pStyle w:val="a5"/>
        <w:spacing w:line="360" w:lineRule="exact"/>
        <w:ind w:left="0"/>
        <w:jc w:val="both"/>
        <w:rPr>
          <w:sz w:val="28"/>
          <w:szCs w:val="28"/>
        </w:rPr>
      </w:pPr>
      <w:r>
        <w:rPr>
          <w:sz w:val="28"/>
          <w:szCs w:val="28"/>
        </w:rPr>
        <w:tab/>
      </w:r>
      <w:r w:rsidR="00CE0591">
        <w:rPr>
          <w:sz w:val="28"/>
          <w:szCs w:val="28"/>
        </w:rPr>
        <w:t>В частности с 01.01.2021 г. отменены</w:t>
      </w:r>
      <w:r w:rsidR="00CE0591" w:rsidRPr="00CE0591">
        <w:rPr>
          <w:sz w:val="28"/>
          <w:szCs w:val="28"/>
        </w:rPr>
        <w:t xml:space="preserve"> ранее действующие льготы для отдельных муниципальных предприятий</w:t>
      </w:r>
      <w:r w:rsidR="00CE0591">
        <w:rPr>
          <w:sz w:val="28"/>
          <w:szCs w:val="28"/>
        </w:rPr>
        <w:t xml:space="preserve"> и установлен </w:t>
      </w:r>
      <w:r w:rsidR="00CE0591" w:rsidRPr="00CE0591">
        <w:rPr>
          <w:sz w:val="28"/>
          <w:szCs w:val="28"/>
        </w:rPr>
        <w:t>едины</w:t>
      </w:r>
      <w:r w:rsidR="008E561A">
        <w:rPr>
          <w:sz w:val="28"/>
          <w:szCs w:val="28"/>
        </w:rPr>
        <w:t>й процент, до которого снижается</w:t>
      </w:r>
      <w:r w:rsidR="00CE0591" w:rsidRPr="00CE0591">
        <w:rPr>
          <w:sz w:val="28"/>
          <w:szCs w:val="28"/>
        </w:rPr>
        <w:t xml:space="preserve"> размер части прибыли, подлежащей перечислению в бюджет СГО</w:t>
      </w:r>
      <w:r w:rsidR="008E561A">
        <w:rPr>
          <w:sz w:val="28"/>
          <w:szCs w:val="28"/>
        </w:rPr>
        <w:t xml:space="preserve"> равный – 10 (ранее для МУП «</w:t>
      </w:r>
      <w:proofErr w:type="spellStart"/>
      <w:r w:rsidR="008E561A">
        <w:rPr>
          <w:sz w:val="28"/>
          <w:szCs w:val="28"/>
        </w:rPr>
        <w:t>Теплоэнерго</w:t>
      </w:r>
      <w:proofErr w:type="spellEnd"/>
      <w:r w:rsidR="008E561A">
        <w:rPr>
          <w:sz w:val="28"/>
          <w:szCs w:val="28"/>
        </w:rPr>
        <w:t>» был установлен 0,1 %).</w:t>
      </w:r>
    </w:p>
    <w:p w:rsidR="00611963" w:rsidRDefault="00502715" w:rsidP="007565C4">
      <w:pPr>
        <w:pStyle w:val="a5"/>
        <w:numPr>
          <w:ilvl w:val="0"/>
          <w:numId w:val="10"/>
        </w:numPr>
        <w:spacing w:line="360" w:lineRule="exact"/>
        <w:ind w:left="0" w:firstLine="1069"/>
        <w:jc w:val="both"/>
        <w:rPr>
          <w:sz w:val="28"/>
          <w:szCs w:val="28"/>
        </w:rPr>
      </w:pPr>
      <w:r w:rsidRPr="00611963">
        <w:rPr>
          <w:sz w:val="28"/>
          <w:szCs w:val="28"/>
        </w:rPr>
        <w:t xml:space="preserve">Платежи при пользовании природными ресурсами запланированы главным администратором доходов с учетом оценки поступлений. </w:t>
      </w:r>
    </w:p>
    <w:p w:rsidR="000C06D2" w:rsidRPr="003A41D4" w:rsidRDefault="00A97885" w:rsidP="007565C4">
      <w:pPr>
        <w:pStyle w:val="a5"/>
        <w:numPr>
          <w:ilvl w:val="0"/>
          <w:numId w:val="10"/>
        </w:numPr>
        <w:spacing w:line="360" w:lineRule="exact"/>
        <w:ind w:left="0" w:firstLine="1069"/>
        <w:jc w:val="both"/>
        <w:rPr>
          <w:sz w:val="28"/>
          <w:szCs w:val="28"/>
        </w:rPr>
      </w:pPr>
      <w:proofErr w:type="gramStart"/>
      <w:r>
        <w:rPr>
          <w:sz w:val="28"/>
          <w:szCs w:val="28"/>
        </w:rPr>
        <w:lastRenderedPageBreak/>
        <w:t>О</w:t>
      </w:r>
      <w:r w:rsidR="000C06D2" w:rsidRPr="000C06D2">
        <w:rPr>
          <w:sz w:val="28"/>
          <w:szCs w:val="28"/>
        </w:rPr>
        <w:t>тклонение плановых от ожидаемых показателей поступлени</w:t>
      </w:r>
      <w:r w:rsidR="00EB562A">
        <w:rPr>
          <w:sz w:val="28"/>
          <w:szCs w:val="28"/>
        </w:rPr>
        <w:t>й</w:t>
      </w:r>
      <w:r w:rsidR="000C06D2" w:rsidRPr="000C06D2">
        <w:rPr>
          <w:sz w:val="28"/>
          <w:szCs w:val="28"/>
        </w:rPr>
        <w:t xml:space="preserve"> «доходов</w:t>
      </w:r>
      <w:r w:rsidR="000C06D2" w:rsidRPr="008036F5">
        <w:t xml:space="preserve"> </w:t>
      </w:r>
      <w:r w:rsidR="000C06D2" w:rsidRPr="000C06D2">
        <w:rPr>
          <w:sz w:val="28"/>
          <w:szCs w:val="28"/>
        </w:rPr>
        <w:t>от оказания платных услуг и компенсации затрат государства» за 20</w:t>
      </w:r>
      <w:r>
        <w:rPr>
          <w:sz w:val="28"/>
          <w:szCs w:val="28"/>
        </w:rPr>
        <w:t>20</w:t>
      </w:r>
      <w:r w:rsidR="000C06D2" w:rsidRPr="000C06D2">
        <w:rPr>
          <w:sz w:val="28"/>
          <w:szCs w:val="28"/>
        </w:rPr>
        <w:t xml:space="preserve"> год обусловлено тем, что по данному коду </w:t>
      </w:r>
      <w:r w:rsidR="000C06D2" w:rsidRPr="00EB562A">
        <w:rPr>
          <w:i/>
          <w:sz w:val="28"/>
          <w:szCs w:val="28"/>
        </w:rPr>
        <w:t>поступают доходы, имеющие разовый платеж</w:t>
      </w:r>
      <w:r w:rsidR="000C06D2" w:rsidRPr="000C06D2">
        <w:rPr>
          <w:sz w:val="28"/>
          <w:szCs w:val="28"/>
        </w:rPr>
        <w:t>, такие как возврат дебиторской задолженности прошлых лет, компенсации затрат бюджета на демонтаж гаражей и рекламных щитов</w:t>
      </w:r>
      <w:r w:rsidR="00F064DE">
        <w:rPr>
          <w:sz w:val="28"/>
          <w:szCs w:val="28"/>
        </w:rPr>
        <w:t xml:space="preserve">, </w:t>
      </w:r>
      <w:r w:rsidR="00E213D3" w:rsidRPr="00E213D3">
        <w:rPr>
          <w:sz w:val="28"/>
          <w:szCs w:val="28"/>
        </w:rPr>
        <w:t>возврат остатков</w:t>
      </w:r>
      <w:r w:rsidR="003A36DA">
        <w:rPr>
          <w:sz w:val="28"/>
          <w:szCs w:val="28"/>
        </w:rPr>
        <w:t xml:space="preserve"> неиспользованных</w:t>
      </w:r>
      <w:r w:rsidR="00E213D3" w:rsidRPr="00E213D3">
        <w:rPr>
          <w:sz w:val="28"/>
          <w:szCs w:val="28"/>
        </w:rPr>
        <w:t xml:space="preserve"> субсидий автономными и бюджетными учреждениями.</w:t>
      </w:r>
      <w:proofErr w:type="gramEnd"/>
      <w:r w:rsidR="003A41D4">
        <w:rPr>
          <w:sz w:val="28"/>
          <w:szCs w:val="28"/>
        </w:rPr>
        <w:t xml:space="preserve"> </w:t>
      </w:r>
      <w:r w:rsidR="00157F73">
        <w:rPr>
          <w:sz w:val="28"/>
          <w:szCs w:val="28"/>
        </w:rPr>
        <w:t>На 202</w:t>
      </w:r>
      <w:r>
        <w:rPr>
          <w:sz w:val="28"/>
          <w:szCs w:val="28"/>
        </w:rPr>
        <w:t>1</w:t>
      </w:r>
      <w:r w:rsidR="00157F73">
        <w:rPr>
          <w:sz w:val="28"/>
          <w:szCs w:val="28"/>
        </w:rPr>
        <w:t>-202</w:t>
      </w:r>
      <w:r>
        <w:rPr>
          <w:sz w:val="28"/>
          <w:szCs w:val="28"/>
        </w:rPr>
        <w:t>3</w:t>
      </w:r>
      <w:r w:rsidR="00157F73">
        <w:rPr>
          <w:sz w:val="28"/>
          <w:szCs w:val="28"/>
        </w:rPr>
        <w:t xml:space="preserve"> г. г. </w:t>
      </w:r>
      <w:r w:rsidR="000C06D2" w:rsidRPr="003A41D4">
        <w:rPr>
          <w:sz w:val="28"/>
          <w:szCs w:val="28"/>
        </w:rPr>
        <w:t xml:space="preserve">план сформирован </w:t>
      </w:r>
      <w:r>
        <w:rPr>
          <w:sz w:val="28"/>
          <w:szCs w:val="28"/>
        </w:rPr>
        <w:t>на основе статистики прошлых лет</w:t>
      </w:r>
      <w:r w:rsidR="00CA7A34">
        <w:rPr>
          <w:sz w:val="28"/>
          <w:szCs w:val="28"/>
        </w:rPr>
        <w:t>.</w:t>
      </w:r>
    </w:p>
    <w:p w:rsidR="00F92887" w:rsidRDefault="00F92887" w:rsidP="007565C4">
      <w:pPr>
        <w:pStyle w:val="a5"/>
        <w:numPr>
          <w:ilvl w:val="0"/>
          <w:numId w:val="10"/>
        </w:numPr>
        <w:spacing w:line="360" w:lineRule="exact"/>
        <w:ind w:left="0" w:firstLine="1069"/>
        <w:jc w:val="both"/>
        <w:rPr>
          <w:sz w:val="28"/>
          <w:szCs w:val="28"/>
        </w:rPr>
      </w:pPr>
      <w:r>
        <w:rPr>
          <w:sz w:val="28"/>
          <w:szCs w:val="28"/>
        </w:rPr>
        <w:t>В д</w:t>
      </w:r>
      <w:r w:rsidRPr="00F92887">
        <w:rPr>
          <w:sz w:val="28"/>
          <w:szCs w:val="28"/>
        </w:rPr>
        <w:t>оход</w:t>
      </w:r>
      <w:r>
        <w:rPr>
          <w:sz w:val="28"/>
          <w:szCs w:val="28"/>
        </w:rPr>
        <w:t>ах</w:t>
      </w:r>
      <w:r w:rsidRPr="00F92887">
        <w:rPr>
          <w:sz w:val="28"/>
          <w:szCs w:val="28"/>
        </w:rPr>
        <w:t xml:space="preserve"> от продажи материальных и нематериальных активов</w:t>
      </w:r>
      <w:r>
        <w:rPr>
          <w:sz w:val="28"/>
          <w:szCs w:val="28"/>
        </w:rPr>
        <w:t xml:space="preserve"> учтены средства от реализации имущества и продажи земельных участков.</w:t>
      </w:r>
    </w:p>
    <w:p w:rsidR="006B3D4B" w:rsidRDefault="00DB5143" w:rsidP="00F92887">
      <w:pPr>
        <w:pStyle w:val="a5"/>
        <w:spacing w:line="360" w:lineRule="exact"/>
        <w:ind w:left="0" w:firstLine="1069"/>
        <w:jc w:val="both"/>
        <w:rPr>
          <w:sz w:val="28"/>
          <w:szCs w:val="28"/>
        </w:rPr>
      </w:pPr>
      <w:r w:rsidRPr="000A6E7F">
        <w:rPr>
          <w:sz w:val="28"/>
          <w:szCs w:val="28"/>
        </w:rPr>
        <w:t xml:space="preserve">Доходы от реализации имущества, находящегося в государственной и муниципальной собственности (за </w:t>
      </w:r>
      <w:r w:rsidR="00101BEB" w:rsidRPr="000A6E7F">
        <w:rPr>
          <w:sz w:val="28"/>
          <w:szCs w:val="28"/>
        </w:rPr>
        <w:t xml:space="preserve">исключением </w:t>
      </w:r>
      <w:r w:rsidRPr="000A6E7F">
        <w:rPr>
          <w:sz w:val="28"/>
          <w:szCs w:val="28"/>
        </w:rPr>
        <w:t>имущества</w:t>
      </w:r>
      <w:r w:rsidR="00101BEB" w:rsidRPr="000A6E7F">
        <w:rPr>
          <w:sz w:val="28"/>
          <w:szCs w:val="28"/>
        </w:rPr>
        <w:t xml:space="preserve"> </w:t>
      </w:r>
      <w:r w:rsidRPr="000A6E7F">
        <w:rPr>
          <w:sz w:val="28"/>
          <w:szCs w:val="28"/>
        </w:rPr>
        <w:t>бюджетных</w:t>
      </w:r>
      <w:r w:rsidR="001A15D9" w:rsidRPr="000A6E7F">
        <w:rPr>
          <w:sz w:val="28"/>
          <w:szCs w:val="28"/>
        </w:rPr>
        <w:t xml:space="preserve"> </w:t>
      </w:r>
      <w:r w:rsidRPr="000A6E7F">
        <w:rPr>
          <w:sz w:val="28"/>
          <w:szCs w:val="28"/>
        </w:rPr>
        <w:t>и    автономных</w:t>
      </w:r>
      <w:r w:rsidR="001A15D9" w:rsidRPr="000A6E7F">
        <w:rPr>
          <w:sz w:val="28"/>
          <w:szCs w:val="28"/>
        </w:rPr>
        <w:t xml:space="preserve"> учреждений, </w:t>
      </w:r>
      <w:r w:rsidRPr="000A6E7F">
        <w:rPr>
          <w:sz w:val="28"/>
          <w:szCs w:val="28"/>
        </w:rPr>
        <w:t>а такж</w:t>
      </w:r>
      <w:r w:rsidR="001A15D9" w:rsidRPr="000A6E7F">
        <w:rPr>
          <w:sz w:val="28"/>
          <w:szCs w:val="28"/>
        </w:rPr>
        <w:t xml:space="preserve">е имущества государственных </w:t>
      </w:r>
      <w:r w:rsidRPr="000A6E7F">
        <w:rPr>
          <w:sz w:val="28"/>
          <w:szCs w:val="28"/>
        </w:rPr>
        <w:t xml:space="preserve">и   муниципальных    унитарных  предприятий, в том числе казенных) </w:t>
      </w:r>
      <w:r w:rsidR="008F2C3A" w:rsidRPr="000A6E7F">
        <w:rPr>
          <w:sz w:val="28"/>
          <w:szCs w:val="28"/>
        </w:rPr>
        <w:t>в представленном проекте решения о бюджете 20</w:t>
      </w:r>
      <w:r w:rsidR="008F090E">
        <w:rPr>
          <w:sz w:val="28"/>
          <w:szCs w:val="28"/>
        </w:rPr>
        <w:t>2</w:t>
      </w:r>
      <w:r w:rsidR="00B976BA">
        <w:rPr>
          <w:sz w:val="28"/>
          <w:szCs w:val="28"/>
        </w:rPr>
        <w:t>1</w:t>
      </w:r>
      <w:r w:rsidR="008F2C3A" w:rsidRPr="000A6E7F">
        <w:rPr>
          <w:sz w:val="28"/>
          <w:szCs w:val="28"/>
        </w:rPr>
        <w:t>-20</w:t>
      </w:r>
      <w:r w:rsidR="00E5076F" w:rsidRPr="000A6E7F">
        <w:rPr>
          <w:sz w:val="28"/>
          <w:szCs w:val="28"/>
        </w:rPr>
        <w:t>2</w:t>
      </w:r>
      <w:r w:rsidR="00B976BA">
        <w:rPr>
          <w:sz w:val="28"/>
          <w:szCs w:val="28"/>
        </w:rPr>
        <w:t>3</w:t>
      </w:r>
      <w:r w:rsidR="008F2C3A" w:rsidRPr="000A6E7F">
        <w:rPr>
          <w:sz w:val="28"/>
          <w:szCs w:val="28"/>
        </w:rPr>
        <w:t xml:space="preserve"> г.</w:t>
      </w:r>
      <w:r w:rsidR="00320D6B" w:rsidRPr="000A6E7F">
        <w:rPr>
          <w:sz w:val="28"/>
          <w:szCs w:val="28"/>
        </w:rPr>
        <w:t xml:space="preserve"> </w:t>
      </w:r>
      <w:r w:rsidR="008F2C3A" w:rsidRPr="000A6E7F">
        <w:rPr>
          <w:sz w:val="28"/>
          <w:szCs w:val="28"/>
        </w:rPr>
        <w:t xml:space="preserve">г. </w:t>
      </w:r>
      <w:r w:rsidRPr="000A6E7F">
        <w:rPr>
          <w:sz w:val="28"/>
          <w:szCs w:val="28"/>
        </w:rPr>
        <w:t xml:space="preserve">запланированы </w:t>
      </w:r>
      <w:r w:rsidR="008F2C3A" w:rsidRPr="000A6E7F">
        <w:rPr>
          <w:sz w:val="28"/>
          <w:szCs w:val="28"/>
        </w:rPr>
        <w:t>на 20</w:t>
      </w:r>
      <w:r w:rsidR="008F090E">
        <w:rPr>
          <w:sz w:val="28"/>
          <w:szCs w:val="28"/>
        </w:rPr>
        <w:t>2</w:t>
      </w:r>
      <w:r w:rsidR="00B63CA3">
        <w:rPr>
          <w:sz w:val="28"/>
          <w:szCs w:val="28"/>
        </w:rPr>
        <w:t>1</w:t>
      </w:r>
      <w:r w:rsidR="008F2C3A" w:rsidRPr="000A6E7F">
        <w:rPr>
          <w:sz w:val="28"/>
          <w:szCs w:val="28"/>
        </w:rPr>
        <w:t xml:space="preserve"> г. </w:t>
      </w:r>
      <w:r w:rsidRPr="000A6E7F">
        <w:rPr>
          <w:sz w:val="28"/>
          <w:szCs w:val="28"/>
        </w:rPr>
        <w:t xml:space="preserve">в сумме </w:t>
      </w:r>
      <w:r w:rsidR="00B63CA3">
        <w:rPr>
          <w:sz w:val="28"/>
          <w:szCs w:val="28"/>
        </w:rPr>
        <w:t>3 922</w:t>
      </w:r>
      <w:r w:rsidR="008F090E">
        <w:rPr>
          <w:sz w:val="28"/>
          <w:szCs w:val="28"/>
        </w:rPr>
        <w:t>,0</w:t>
      </w:r>
      <w:r w:rsidRPr="000A6E7F">
        <w:rPr>
          <w:sz w:val="28"/>
          <w:szCs w:val="28"/>
        </w:rPr>
        <w:t xml:space="preserve"> тыс. руб.</w:t>
      </w:r>
    </w:p>
    <w:p w:rsidR="006B3D4B" w:rsidRPr="006B3D4B" w:rsidRDefault="006B3D4B" w:rsidP="006B3D4B">
      <w:pPr>
        <w:pStyle w:val="a5"/>
        <w:spacing w:line="360" w:lineRule="exact"/>
        <w:ind w:left="0"/>
        <w:jc w:val="both"/>
        <w:rPr>
          <w:sz w:val="28"/>
          <w:szCs w:val="28"/>
        </w:rPr>
      </w:pPr>
      <w:r>
        <w:rPr>
          <w:sz w:val="28"/>
          <w:szCs w:val="28"/>
        </w:rPr>
        <w:tab/>
      </w:r>
      <w:r w:rsidRPr="006B3D4B">
        <w:rPr>
          <w:sz w:val="28"/>
          <w:szCs w:val="28"/>
        </w:rPr>
        <w:t>Прогнозный план приватизации муниципального имущества Соликамского городского округа на 202</w:t>
      </w:r>
      <w:r w:rsidR="003927CB">
        <w:rPr>
          <w:sz w:val="28"/>
          <w:szCs w:val="28"/>
        </w:rPr>
        <w:t>1</w:t>
      </w:r>
      <w:r w:rsidRPr="006B3D4B">
        <w:rPr>
          <w:sz w:val="28"/>
          <w:szCs w:val="28"/>
        </w:rPr>
        <w:t>-202</w:t>
      </w:r>
      <w:r w:rsidR="003927CB">
        <w:rPr>
          <w:sz w:val="28"/>
          <w:szCs w:val="28"/>
        </w:rPr>
        <w:t>3</w:t>
      </w:r>
      <w:r w:rsidRPr="006B3D4B">
        <w:rPr>
          <w:sz w:val="28"/>
          <w:szCs w:val="28"/>
        </w:rPr>
        <w:t xml:space="preserve"> годы </w:t>
      </w:r>
      <w:r w:rsidR="003927CB">
        <w:rPr>
          <w:sz w:val="28"/>
          <w:szCs w:val="28"/>
        </w:rPr>
        <w:t xml:space="preserve">утвержден решением Думы Соликамского городского округа </w:t>
      </w:r>
      <w:r w:rsidR="003927CB" w:rsidRPr="00A02D6A">
        <w:rPr>
          <w:sz w:val="28"/>
          <w:szCs w:val="28"/>
        </w:rPr>
        <w:t>от</w:t>
      </w:r>
      <w:r w:rsidR="00A02D6A">
        <w:rPr>
          <w:sz w:val="28"/>
          <w:szCs w:val="28"/>
        </w:rPr>
        <w:t xml:space="preserve"> 30.09.2020 г. № 776.</w:t>
      </w:r>
      <w:r w:rsidR="003927CB">
        <w:rPr>
          <w:sz w:val="28"/>
          <w:szCs w:val="28"/>
        </w:rPr>
        <w:t xml:space="preserve"> </w:t>
      </w:r>
      <w:r w:rsidRPr="006B3D4B">
        <w:rPr>
          <w:sz w:val="28"/>
          <w:szCs w:val="28"/>
        </w:rPr>
        <w:t xml:space="preserve"> В соответствии с прогнозн</w:t>
      </w:r>
      <w:r w:rsidR="007F4C19">
        <w:rPr>
          <w:sz w:val="28"/>
          <w:szCs w:val="28"/>
        </w:rPr>
        <w:t>ым</w:t>
      </w:r>
      <w:r w:rsidRPr="006B3D4B">
        <w:rPr>
          <w:sz w:val="28"/>
          <w:szCs w:val="28"/>
        </w:rPr>
        <w:t xml:space="preserve"> план</w:t>
      </w:r>
      <w:r w:rsidR="007F4C19">
        <w:rPr>
          <w:sz w:val="28"/>
          <w:szCs w:val="28"/>
        </w:rPr>
        <w:t>ом</w:t>
      </w:r>
      <w:r w:rsidRPr="006B3D4B">
        <w:rPr>
          <w:sz w:val="28"/>
          <w:szCs w:val="28"/>
        </w:rPr>
        <w:t xml:space="preserve"> приватизации муниципального имущества СГО на 202</w:t>
      </w:r>
      <w:r w:rsidR="003927CB">
        <w:rPr>
          <w:sz w:val="28"/>
          <w:szCs w:val="28"/>
        </w:rPr>
        <w:t>1</w:t>
      </w:r>
      <w:r w:rsidRPr="006B3D4B">
        <w:rPr>
          <w:sz w:val="28"/>
          <w:szCs w:val="28"/>
        </w:rPr>
        <w:t xml:space="preserve"> год запланированы поступления в объеме </w:t>
      </w:r>
      <w:r w:rsidR="00A02D6A">
        <w:rPr>
          <w:sz w:val="28"/>
          <w:szCs w:val="28"/>
        </w:rPr>
        <w:t>1 060,</w:t>
      </w:r>
      <w:r w:rsidRPr="00A02D6A">
        <w:rPr>
          <w:sz w:val="28"/>
          <w:szCs w:val="28"/>
        </w:rPr>
        <w:t>0</w:t>
      </w:r>
      <w:r w:rsidRPr="006B3D4B">
        <w:rPr>
          <w:sz w:val="28"/>
          <w:szCs w:val="28"/>
        </w:rPr>
        <w:t xml:space="preserve"> тыс. руб. </w:t>
      </w:r>
    </w:p>
    <w:p w:rsidR="00C67B2B" w:rsidRDefault="00CA3312" w:rsidP="00CA3312">
      <w:pPr>
        <w:pStyle w:val="a5"/>
        <w:spacing w:line="360" w:lineRule="exact"/>
        <w:ind w:left="0"/>
        <w:jc w:val="both"/>
        <w:rPr>
          <w:sz w:val="28"/>
          <w:szCs w:val="28"/>
        </w:rPr>
      </w:pPr>
      <w:r>
        <w:rPr>
          <w:sz w:val="28"/>
          <w:szCs w:val="28"/>
        </w:rPr>
        <w:tab/>
      </w:r>
      <w:proofErr w:type="gramStart"/>
      <w:r w:rsidR="00FC0268" w:rsidRPr="000A6E7F">
        <w:rPr>
          <w:sz w:val="28"/>
          <w:szCs w:val="28"/>
        </w:rPr>
        <w:t xml:space="preserve">По вышеуказанной строке доходов </w:t>
      </w:r>
      <w:r>
        <w:rPr>
          <w:sz w:val="28"/>
          <w:szCs w:val="28"/>
        </w:rPr>
        <w:t xml:space="preserve">также </w:t>
      </w:r>
      <w:r w:rsidR="00FC0268" w:rsidRPr="000A6E7F">
        <w:rPr>
          <w:sz w:val="28"/>
          <w:szCs w:val="28"/>
        </w:rPr>
        <w:t>учитываются поступления при выкуп</w:t>
      </w:r>
      <w:r>
        <w:rPr>
          <w:sz w:val="28"/>
          <w:szCs w:val="28"/>
        </w:rPr>
        <w:t>е</w:t>
      </w:r>
      <w:r w:rsidR="00FC0268" w:rsidRPr="000A6E7F">
        <w:rPr>
          <w:sz w:val="28"/>
          <w:szCs w:val="28"/>
        </w:rPr>
        <w:t xml:space="preserve"> арендуемого имущества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3927CB" w:rsidRPr="005E4B04" w:rsidRDefault="003927CB" w:rsidP="00CA3312">
      <w:pPr>
        <w:pStyle w:val="a5"/>
        <w:spacing w:line="360" w:lineRule="exact"/>
        <w:ind w:left="0"/>
        <w:jc w:val="both"/>
      </w:pPr>
      <w:r>
        <w:rPr>
          <w:sz w:val="28"/>
          <w:szCs w:val="28"/>
        </w:rPr>
        <w:tab/>
      </w:r>
      <w:r w:rsidRPr="005E4B04">
        <w:t xml:space="preserve">Справочно! </w:t>
      </w:r>
      <w:r w:rsidR="001C4DA7">
        <w:t>В</w:t>
      </w:r>
      <w:r w:rsidR="005E4B04">
        <w:t xml:space="preserve"> </w:t>
      </w:r>
      <w:r w:rsidRPr="005E4B04">
        <w:t>2020 год</w:t>
      </w:r>
      <w:r w:rsidR="001C4DA7">
        <w:t>у</w:t>
      </w:r>
      <w:r w:rsidR="005E4B04">
        <w:t xml:space="preserve"> </w:t>
      </w:r>
      <w:r w:rsidRPr="005E4B04">
        <w:t>поступ</w:t>
      </w:r>
      <w:r w:rsidR="001C4DA7">
        <w:t>или</w:t>
      </w:r>
      <w:r w:rsidRPr="005E4B04">
        <w:t xml:space="preserve"> доход</w:t>
      </w:r>
      <w:r w:rsidR="001C4DA7">
        <w:t>ы</w:t>
      </w:r>
      <w:r w:rsidRPr="005E4B04">
        <w:t xml:space="preserve"> от реализации имущества, </w:t>
      </w:r>
      <w:r w:rsidRPr="00464563">
        <w:rPr>
          <w:u w:val="single"/>
        </w:rPr>
        <w:t>находящегося в оперативном управлении учреждений</w:t>
      </w:r>
      <w:r w:rsidRPr="005E4B04">
        <w:t xml:space="preserve"> на сумму 1 251,4 тыс. руб. (</w:t>
      </w:r>
      <w:r w:rsidR="0013180E" w:rsidRPr="005E4B04">
        <w:t>автотранспортное средство МБУ «ЦОТО»</w:t>
      </w:r>
      <w:r w:rsidR="001C4DA7">
        <w:t xml:space="preserve"> и брандвахта МБУ ДО ДЭБЦ).</w:t>
      </w:r>
    </w:p>
    <w:p w:rsidR="00126C31" w:rsidRDefault="00314917" w:rsidP="00DB5143">
      <w:pPr>
        <w:spacing w:line="360" w:lineRule="exact"/>
        <w:ind w:firstLine="709"/>
        <w:jc w:val="both"/>
        <w:rPr>
          <w:sz w:val="28"/>
          <w:szCs w:val="28"/>
        </w:rPr>
      </w:pPr>
      <w:r>
        <w:rPr>
          <w:sz w:val="28"/>
          <w:szCs w:val="28"/>
        </w:rPr>
        <w:t>Кроме того при</w:t>
      </w:r>
      <w:r w:rsidR="005725F6">
        <w:rPr>
          <w:sz w:val="28"/>
          <w:szCs w:val="28"/>
        </w:rPr>
        <w:t xml:space="preserve"> </w:t>
      </w:r>
      <w:r w:rsidR="005725F6" w:rsidRPr="005725F6">
        <w:rPr>
          <w:sz w:val="28"/>
          <w:szCs w:val="28"/>
        </w:rPr>
        <w:t xml:space="preserve">планировании доходов от реализации </w:t>
      </w:r>
      <w:r w:rsidR="001C4DA7">
        <w:rPr>
          <w:sz w:val="28"/>
          <w:szCs w:val="28"/>
        </w:rPr>
        <w:t>земельных участков</w:t>
      </w:r>
      <w:r w:rsidR="005725F6" w:rsidRPr="005725F6">
        <w:rPr>
          <w:sz w:val="28"/>
          <w:szCs w:val="28"/>
        </w:rPr>
        <w:t xml:space="preserve"> уч</w:t>
      </w:r>
      <w:r w:rsidR="006D3444">
        <w:rPr>
          <w:sz w:val="28"/>
          <w:szCs w:val="28"/>
        </w:rPr>
        <w:t>итываются</w:t>
      </w:r>
      <w:r w:rsidR="005725F6" w:rsidRPr="005725F6">
        <w:rPr>
          <w:sz w:val="28"/>
          <w:szCs w:val="28"/>
        </w:rPr>
        <w:t xml:space="preserve"> риски, связанные с отсутствием спроса</w:t>
      </w:r>
      <w:r w:rsidR="00614F47">
        <w:rPr>
          <w:sz w:val="28"/>
          <w:szCs w:val="28"/>
        </w:rPr>
        <w:t>.</w:t>
      </w:r>
    </w:p>
    <w:p w:rsidR="00DB5143" w:rsidRPr="00740C4E" w:rsidRDefault="00DB5143" w:rsidP="00DB5143">
      <w:pPr>
        <w:spacing w:line="360" w:lineRule="exact"/>
        <w:ind w:firstLine="709"/>
        <w:jc w:val="both"/>
        <w:rPr>
          <w:b/>
          <w:sz w:val="28"/>
          <w:szCs w:val="28"/>
        </w:rPr>
      </w:pPr>
      <w:r w:rsidRPr="00740C4E">
        <w:rPr>
          <w:b/>
          <w:sz w:val="28"/>
          <w:szCs w:val="28"/>
        </w:rPr>
        <w:t>Безвозмездные поступления</w:t>
      </w:r>
    </w:p>
    <w:p w:rsidR="001B3879" w:rsidRDefault="00DB5143" w:rsidP="00DB5143">
      <w:pPr>
        <w:spacing w:line="360" w:lineRule="exact"/>
        <w:ind w:firstLine="709"/>
        <w:jc w:val="both"/>
        <w:rPr>
          <w:sz w:val="28"/>
          <w:szCs w:val="28"/>
        </w:rPr>
      </w:pPr>
      <w:r w:rsidRPr="00740C4E">
        <w:rPr>
          <w:sz w:val="28"/>
          <w:szCs w:val="28"/>
        </w:rPr>
        <w:t xml:space="preserve">Сумма безвозмездных поступлений </w:t>
      </w:r>
      <w:r>
        <w:rPr>
          <w:sz w:val="28"/>
          <w:szCs w:val="28"/>
        </w:rPr>
        <w:t>из</w:t>
      </w:r>
      <w:r w:rsidRPr="00740C4E">
        <w:rPr>
          <w:sz w:val="28"/>
          <w:szCs w:val="28"/>
        </w:rPr>
        <w:t xml:space="preserve"> других бюджетов, включенная в представленный проект </w:t>
      </w:r>
      <w:r w:rsidR="000B76A8">
        <w:rPr>
          <w:sz w:val="28"/>
          <w:szCs w:val="28"/>
        </w:rPr>
        <w:t xml:space="preserve">решения </w:t>
      </w:r>
      <w:r w:rsidRPr="00740C4E">
        <w:rPr>
          <w:sz w:val="28"/>
          <w:szCs w:val="28"/>
        </w:rPr>
        <w:t>соответствует законопроекту «О бюджете Пермского края на 20</w:t>
      </w:r>
      <w:r w:rsidR="0011412A">
        <w:rPr>
          <w:sz w:val="28"/>
          <w:szCs w:val="28"/>
        </w:rPr>
        <w:t>2</w:t>
      </w:r>
      <w:r w:rsidR="001B3879">
        <w:rPr>
          <w:sz w:val="28"/>
          <w:szCs w:val="28"/>
        </w:rPr>
        <w:t>1</w:t>
      </w:r>
      <w:r w:rsidRPr="00740C4E">
        <w:rPr>
          <w:sz w:val="28"/>
          <w:szCs w:val="28"/>
        </w:rPr>
        <w:t xml:space="preserve"> год и плановый период 20</w:t>
      </w:r>
      <w:r w:rsidR="00263E99">
        <w:rPr>
          <w:sz w:val="28"/>
          <w:szCs w:val="28"/>
        </w:rPr>
        <w:t>2</w:t>
      </w:r>
      <w:r w:rsidR="001B3879">
        <w:rPr>
          <w:sz w:val="28"/>
          <w:szCs w:val="28"/>
        </w:rPr>
        <w:t>2</w:t>
      </w:r>
      <w:r w:rsidRPr="00740C4E">
        <w:rPr>
          <w:sz w:val="28"/>
          <w:szCs w:val="28"/>
        </w:rPr>
        <w:t xml:space="preserve"> и 20</w:t>
      </w:r>
      <w:r w:rsidR="00F02E5A">
        <w:rPr>
          <w:sz w:val="28"/>
          <w:szCs w:val="28"/>
        </w:rPr>
        <w:t>2</w:t>
      </w:r>
      <w:r w:rsidR="001B3879">
        <w:rPr>
          <w:sz w:val="28"/>
          <w:szCs w:val="28"/>
        </w:rPr>
        <w:t xml:space="preserve">3 годов» (1 чтение). </w:t>
      </w:r>
    </w:p>
    <w:p w:rsidR="00DB5143" w:rsidRDefault="001B3879" w:rsidP="00DB5143">
      <w:pPr>
        <w:spacing w:line="360" w:lineRule="exact"/>
        <w:ind w:firstLine="709"/>
        <w:jc w:val="both"/>
        <w:rPr>
          <w:sz w:val="28"/>
          <w:szCs w:val="28"/>
        </w:rPr>
      </w:pPr>
      <w:r>
        <w:rPr>
          <w:sz w:val="28"/>
          <w:szCs w:val="28"/>
        </w:rPr>
        <w:t>Кроме того</w:t>
      </w:r>
      <w:r w:rsidR="00E159ED" w:rsidRPr="00E159ED">
        <w:t xml:space="preserve"> </w:t>
      </w:r>
      <w:r w:rsidR="00E159ED" w:rsidRPr="00E159ED">
        <w:rPr>
          <w:sz w:val="28"/>
          <w:szCs w:val="28"/>
        </w:rPr>
        <w:t xml:space="preserve">учтены объемы утвержденных </w:t>
      </w:r>
      <w:r w:rsidR="00E159ED">
        <w:rPr>
          <w:sz w:val="28"/>
          <w:szCs w:val="28"/>
        </w:rPr>
        <w:t xml:space="preserve">межбюджетных трансфертов </w:t>
      </w:r>
      <w:r w:rsidR="00E159ED" w:rsidRPr="00E159ED">
        <w:rPr>
          <w:sz w:val="28"/>
          <w:szCs w:val="28"/>
        </w:rPr>
        <w:t xml:space="preserve">в 2020 году </w:t>
      </w:r>
      <w:r w:rsidR="00E158EE">
        <w:rPr>
          <w:sz w:val="28"/>
          <w:szCs w:val="28"/>
        </w:rPr>
        <w:t>на период 2021-2022 годов.</w:t>
      </w:r>
    </w:p>
    <w:p w:rsidR="00DB5143" w:rsidRDefault="00DB5143" w:rsidP="009C193B">
      <w:pPr>
        <w:spacing w:line="360" w:lineRule="exact"/>
        <w:ind w:firstLine="709"/>
        <w:jc w:val="both"/>
        <w:rPr>
          <w:sz w:val="28"/>
          <w:szCs w:val="28"/>
        </w:rPr>
      </w:pPr>
      <w:r w:rsidRPr="0070681F">
        <w:rPr>
          <w:sz w:val="28"/>
          <w:szCs w:val="28"/>
        </w:rPr>
        <w:lastRenderedPageBreak/>
        <w:t>Ра</w:t>
      </w:r>
      <w:r w:rsidRPr="00740C4E">
        <w:rPr>
          <w:sz w:val="28"/>
          <w:szCs w:val="28"/>
        </w:rPr>
        <w:t>змер дотаций Соликамскому городскому округу на 20</w:t>
      </w:r>
      <w:r w:rsidR="009C193B">
        <w:rPr>
          <w:sz w:val="28"/>
          <w:szCs w:val="28"/>
        </w:rPr>
        <w:t>2</w:t>
      </w:r>
      <w:r w:rsidR="00A02D6A">
        <w:rPr>
          <w:sz w:val="28"/>
          <w:szCs w:val="28"/>
        </w:rPr>
        <w:t>1</w:t>
      </w:r>
      <w:r w:rsidRPr="00740C4E">
        <w:rPr>
          <w:sz w:val="28"/>
          <w:szCs w:val="28"/>
        </w:rPr>
        <w:t xml:space="preserve"> </w:t>
      </w:r>
      <w:r w:rsidR="00263E99" w:rsidRPr="00263E99">
        <w:rPr>
          <w:sz w:val="28"/>
          <w:szCs w:val="28"/>
        </w:rPr>
        <w:t xml:space="preserve">на выравнивание бюджетной обеспеченности муниципальных районов (городских округов) из регионального </w:t>
      </w:r>
      <w:r w:rsidR="00BD5CDD">
        <w:rPr>
          <w:sz w:val="28"/>
          <w:szCs w:val="28"/>
        </w:rPr>
        <w:t>бюджета</w:t>
      </w:r>
      <w:r w:rsidR="00F53F35" w:rsidRPr="00F53F35">
        <w:rPr>
          <w:sz w:val="28"/>
          <w:szCs w:val="28"/>
        </w:rPr>
        <w:t xml:space="preserve"> </w:t>
      </w:r>
      <w:r w:rsidRPr="00740C4E">
        <w:rPr>
          <w:sz w:val="28"/>
          <w:szCs w:val="28"/>
        </w:rPr>
        <w:t xml:space="preserve"> </w:t>
      </w:r>
      <w:r w:rsidR="009C193B" w:rsidRPr="00740C4E">
        <w:rPr>
          <w:sz w:val="28"/>
          <w:szCs w:val="28"/>
        </w:rPr>
        <w:t xml:space="preserve">утвержден </w:t>
      </w:r>
      <w:r w:rsidR="009C193B">
        <w:rPr>
          <w:sz w:val="28"/>
          <w:szCs w:val="28"/>
        </w:rPr>
        <w:t xml:space="preserve">в </w:t>
      </w:r>
      <w:r w:rsidR="009C193B" w:rsidRPr="00740C4E">
        <w:rPr>
          <w:sz w:val="28"/>
          <w:szCs w:val="28"/>
        </w:rPr>
        <w:t>объеме</w:t>
      </w:r>
      <w:r w:rsidR="009C193B">
        <w:rPr>
          <w:sz w:val="28"/>
          <w:szCs w:val="28"/>
        </w:rPr>
        <w:t xml:space="preserve"> </w:t>
      </w:r>
      <w:r w:rsidRPr="00740C4E">
        <w:rPr>
          <w:sz w:val="28"/>
          <w:szCs w:val="28"/>
        </w:rPr>
        <w:t xml:space="preserve">– </w:t>
      </w:r>
      <w:r w:rsidR="0070681F">
        <w:rPr>
          <w:sz w:val="28"/>
          <w:szCs w:val="28"/>
        </w:rPr>
        <w:t>125 411,2</w:t>
      </w:r>
      <w:r w:rsidR="00263E99">
        <w:rPr>
          <w:sz w:val="28"/>
          <w:szCs w:val="28"/>
        </w:rPr>
        <w:t xml:space="preserve"> тыс. руб. </w:t>
      </w:r>
    </w:p>
    <w:p w:rsidR="004846DC" w:rsidRDefault="008F186E" w:rsidP="00A71AD9">
      <w:pPr>
        <w:spacing w:line="360" w:lineRule="exact"/>
        <w:jc w:val="both"/>
        <w:rPr>
          <w:sz w:val="28"/>
          <w:szCs w:val="28"/>
        </w:rPr>
      </w:pPr>
      <w:r>
        <w:rPr>
          <w:sz w:val="28"/>
          <w:szCs w:val="28"/>
        </w:rPr>
        <w:tab/>
        <w:t xml:space="preserve">Впервые </w:t>
      </w:r>
      <w:r w:rsidR="0070681F">
        <w:rPr>
          <w:sz w:val="28"/>
          <w:szCs w:val="28"/>
        </w:rPr>
        <w:t>предоставлена д</w:t>
      </w:r>
      <w:r w:rsidR="0070681F" w:rsidRPr="0070681F">
        <w:rPr>
          <w:sz w:val="28"/>
          <w:szCs w:val="28"/>
        </w:rPr>
        <w:t>отаци</w:t>
      </w:r>
      <w:r w:rsidR="0070681F">
        <w:rPr>
          <w:sz w:val="28"/>
          <w:szCs w:val="28"/>
        </w:rPr>
        <w:t>я</w:t>
      </w:r>
      <w:r w:rsidR="0070681F" w:rsidRPr="0070681F">
        <w:rPr>
          <w:sz w:val="28"/>
          <w:szCs w:val="28"/>
        </w:rPr>
        <w:t xml:space="preserve"> на сбалансированность бюджетов муниципальных районов, муниципальных округов, городских округов Пермского края</w:t>
      </w:r>
      <w:r w:rsidR="0070681F">
        <w:rPr>
          <w:sz w:val="28"/>
          <w:szCs w:val="28"/>
        </w:rPr>
        <w:t xml:space="preserve">  в объеме 40 487,4 тыс. руб.</w:t>
      </w:r>
      <w:r>
        <w:rPr>
          <w:sz w:val="28"/>
          <w:szCs w:val="28"/>
        </w:rPr>
        <w:t xml:space="preserve"> Дотация определена только на 2021 год.</w:t>
      </w:r>
    </w:p>
    <w:p w:rsidR="0070681F" w:rsidRDefault="0070681F" w:rsidP="00A71AD9">
      <w:pPr>
        <w:spacing w:line="360" w:lineRule="exact"/>
        <w:jc w:val="both"/>
        <w:rPr>
          <w:sz w:val="28"/>
          <w:szCs w:val="28"/>
        </w:rPr>
      </w:pPr>
      <w:r>
        <w:rPr>
          <w:sz w:val="28"/>
          <w:szCs w:val="28"/>
        </w:rPr>
        <w:tab/>
        <w:t xml:space="preserve">Порядок распределения и предоставления указанной дотации утвержден постановлением Правительства ПК от 30.09.2020 г. № 716-п. </w:t>
      </w:r>
    </w:p>
    <w:p w:rsidR="00EF1B13" w:rsidRDefault="00EF1B13" w:rsidP="00A71AD9">
      <w:pPr>
        <w:spacing w:line="360" w:lineRule="exact"/>
        <w:jc w:val="both"/>
        <w:rPr>
          <w:b/>
          <w:i/>
          <w:sz w:val="28"/>
          <w:szCs w:val="28"/>
        </w:rPr>
      </w:pPr>
      <w:r>
        <w:rPr>
          <w:sz w:val="28"/>
          <w:szCs w:val="28"/>
        </w:rPr>
        <w:tab/>
      </w:r>
      <w:r w:rsidRPr="00E15A26">
        <w:rPr>
          <w:b/>
          <w:i/>
          <w:sz w:val="28"/>
          <w:szCs w:val="28"/>
        </w:rPr>
        <w:t>По результатам анализа поступлений доходов прогнозируемых в 20</w:t>
      </w:r>
      <w:r w:rsidR="008831CE">
        <w:rPr>
          <w:b/>
          <w:i/>
          <w:sz w:val="28"/>
          <w:szCs w:val="28"/>
        </w:rPr>
        <w:t>2</w:t>
      </w:r>
      <w:r w:rsidR="0070681F">
        <w:rPr>
          <w:b/>
          <w:i/>
          <w:sz w:val="28"/>
          <w:szCs w:val="28"/>
        </w:rPr>
        <w:t>1-2023г.</w:t>
      </w:r>
      <w:r w:rsidRPr="00E15A26">
        <w:rPr>
          <w:b/>
          <w:i/>
          <w:sz w:val="28"/>
          <w:szCs w:val="28"/>
        </w:rPr>
        <w:t xml:space="preserve">г. </w:t>
      </w:r>
      <w:r w:rsidR="001F25B9">
        <w:rPr>
          <w:b/>
          <w:i/>
          <w:sz w:val="28"/>
          <w:szCs w:val="28"/>
        </w:rPr>
        <w:t>установлено, что учтены положения Бюджетного Кодекса РФ, НПА Пермского края и п</w:t>
      </w:r>
      <w:r w:rsidR="001F25B9" w:rsidRPr="001F25B9">
        <w:rPr>
          <w:b/>
          <w:i/>
          <w:sz w:val="28"/>
          <w:szCs w:val="28"/>
        </w:rPr>
        <w:t>редложени</w:t>
      </w:r>
      <w:r w:rsidR="001F25B9">
        <w:rPr>
          <w:b/>
          <w:i/>
          <w:sz w:val="28"/>
          <w:szCs w:val="28"/>
        </w:rPr>
        <w:t>я</w:t>
      </w:r>
      <w:r w:rsidR="001F25B9" w:rsidRPr="001F25B9">
        <w:rPr>
          <w:b/>
          <w:i/>
          <w:sz w:val="28"/>
          <w:szCs w:val="28"/>
        </w:rPr>
        <w:t xml:space="preserve"> администраторов доходов</w:t>
      </w:r>
      <w:r w:rsidR="00C510C3">
        <w:rPr>
          <w:b/>
          <w:i/>
          <w:sz w:val="28"/>
          <w:szCs w:val="28"/>
        </w:rPr>
        <w:t xml:space="preserve">. </w:t>
      </w:r>
    </w:p>
    <w:p w:rsidR="00DB2647" w:rsidRDefault="00DB2647" w:rsidP="00A71AD9">
      <w:pPr>
        <w:spacing w:line="360" w:lineRule="exact"/>
        <w:jc w:val="both"/>
        <w:rPr>
          <w:b/>
          <w:i/>
          <w:sz w:val="28"/>
          <w:szCs w:val="28"/>
        </w:rPr>
      </w:pPr>
    </w:p>
    <w:p w:rsidR="00BB36A3" w:rsidRPr="00AE1A73" w:rsidRDefault="00BB36A3" w:rsidP="00BB36A3">
      <w:pPr>
        <w:spacing w:line="360" w:lineRule="exact"/>
        <w:jc w:val="center"/>
        <w:rPr>
          <w:b/>
          <w:i/>
          <w:sz w:val="28"/>
          <w:szCs w:val="28"/>
        </w:rPr>
      </w:pPr>
      <w:r>
        <w:rPr>
          <w:b/>
          <w:i/>
          <w:sz w:val="28"/>
          <w:szCs w:val="28"/>
        </w:rPr>
        <w:t xml:space="preserve">8. </w:t>
      </w:r>
      <w:r w:rsidRPr="00AE1A73">
        <w:rPr>
          <w:b/>
          <w:i/>
          <w:sz w:val="28"/>
          <w:szCs w:val="28"/>
        </w:rPr>
        <w:t>Анализ  прогнозируемого в очередном финансовом году и плановом периоде  общего объема расходов Соликамского городского округа</w:t>
      </w:r>
    </w:p>
    <w:p w:rsidR="00BB36A3" w:rsidRPr="00595234" w:rsidRDefault="00BB36A3" w:rsidP="00BB36A3">
      <w:pPr>
        <w:spacing w:line="360" w:lineRule="exact"/>
        <w:jc w:val="both"/>
        <w:rPr>
          <w:sz w:val="28"/>
          <w:szCs w:val="28"/>
        </w:rPr>
      </w:pPr>
      <w:r>
        <w:rPr>
          <w:sz w:val="28"/>
          <w:szCs w:val="28"/>
        </w:rPr>
        <w:tab/>
      </w:r>
      <w:r w:rsidRPr="00595234">
        <w:rPr>
          <w:sz w:val="28"/>
          <w:szCs w:val="28"/>
        </w:rPr>
        <w:t xml:space="preserve">В проекте решения о бюджете </w:t>
      </w:r>
      <w:r w:rsidR="00BD5CDD" w:rsidRPr="00595234">
        <w:rPr>
          <w:sz w:val="28"/>
          <w:szCs w:val="28"/>
        </w:rPr>
        <w:t xml:space="preserve">к утверждению </w:t>
      </w:r>
      <w:r w:rsidRPr="00595234">
        <w:rPr>
          <w:sz w:val="28"/>
          <w:szCs w:val="28"/>
        </w:rPr>
        <w:t>планиру</w:t>
      </w:r>
      <w:r w:rsidR="00BD5CDD">
        <w:rPr>
          <w:sz w:val="28"/>
          <w:szCs w:val="28"/>
        </w:rPr>
        <w:t>е</w:t>
      </w:r>
      <w:r w:rsidRPr="00595234">
        <w:rPr>
          <w:sz w:val="28"/>
          <w:szCs w:val="28"/>
        </w:rPr>
        <w:t>тся расходная часть в следующих объемах:</w:t>
      </w:r>
    </w:p>
    <w:p w:rsidR="00BB36A3" w:rsidRDefault="00BB36A3" w:rsidP="00BB36A3">
      <w:pPr>
        <w:pStyle w:val="a5"/>
        <w:numPr>
          <w:ilvl w:val="0"/>
          <w:numId w:val="11"/>
        </w:numPr>
        <w:spacing w:line="360" w:lineRule="exact"/>
        <w:jc w:val="both"/>
        <w:rPr>
          <w:sz w:val="28"/>
          <w:szCs w:val="28"/>
        </w:rPr>
      </w:pPr>
      <w:r w:rsidRPr="003C692B">
        <w:rPr>
          <w:sz w:val="28"/>
          <w:szCs w:val="28"/>
        </w:rPr>
        <w:t>на 202</w:t>
      </w:r>
      <w:r>
        <w:rPr>
          <w:sz w:val="28"/>
          <w:szCs w:val="28"/>
        </w:rPr>
        <w:t>1</w:t>
      </w:r>
      <w:r w:rsidRPr="003C692B">
        <w:rPr>
          <w:sz w:val="28"/>
          <w:szCs w:val="28"/>
        </w:rPr>
        <w:t xml:space="preserve"> год в сумме 3 </w:t>
      </w:r>
      <w:r>
        <w:rPr>
          <w:sz w:val="28"/>
          <w:szCs w:val="28"/>
        </w:rPr>
        <w:t>869 699,4</w:t>
      </w:r>
      <w:r w:rsidRPr="003C692B">
        <w:rPr>
          <w:sz w:val="28"/>
          <w:szCs w:val="28"/>
        </w:rPr>
        <w:t xml:space="preserve"> тыс.</w:t>
      </w:r>
      <w:r>
        <w:rPr>
          <w:sz w:val="28"/>
          <w:szCs w:val="28"/>
        </w:rPr>
        <w:t xml:space="preserve"> </w:t>
      </w:r>
      <w:r w:rsidRPr="003C692B">
        <w:rPr>
          <w:sz w:val="28"/>
          <w:szCs w:val="28"/>
        </w:rPr>
        <w:t>руб.;</w:t>
      </w:r>
    </w:p>
    <w:p w:rsidR="00BB36A3" w:rsidRDefault="00BB36A3" w:rsidP="00BB36A3">
      <w:pPr>
        <w:pStyle w:val="a5"/>
        <w:numPr>
          <w:ilvl w:val="0"/>
          <w:numId w:val="11"/>
        </w:numPr>
        <w:spacing w:line="360" w:lineRule="exact"/>
        <w:jc w:val="both"/>
        <w:rPr>
          <w:sz w:val="28"/>
          <w:szCs w:val="28"/>
        </w:rPr>
      </w:pPr>
      <w:r>
        <w:rPr>
          <w:sz w:val="28"/>
          <w:szCs w:val="28"/>
        </w:rPr>
        <w:t>на 2022</w:t>
      </w:r>
      <w:r w:rsidRPr="003C692B">
        <w:rPr>
          <w:sz w:val="28"/>
          <w:szCs w:val="28"/>
        </w:rPr>
        <w:t xml:space="preserve"> год в сумме 3 </w:t>
      </w:r>
      <w:r>
        <w:rPr>
          <w:sz w:val="28"/>
          <w:szCs w:val="28"/>
        </w:rPr>
        <w:t>446 748,2</w:t>
      </w:r>
      <w:r w:rsidRPr="003C692B">
        <w:rPr>
          <w:sz w:val="28"/>
          <w:szCs w:val="28"/>
        </w:rPr>
        <w:t xml:space="preserve"> тыс.</w:t>
      </w:r>
      <w:r>
        <w:rPr>
          <w:sz w:val="28"/>
          <w:szCs w:val="28"/>
        </w:rPr>
        <w:t xml:space="preserve"> </w:t>
      </w:r>
      <w:r w:rsidRPr="003C692B">
        <w:rPr>
          <w:sz w:val="28"/>
          <w:szCs w:val="28"/>
        </w:rPr>
        <w:t>руб.;</w:t>
      </w:r>
    </w:p>
    <w:p w:rsidR="00BB36A3" w:rsidRPr="003C692B" w:rsidRDefault="00BB36A3" w:rsidP="00BB36A3">
      <w:pPr>
        <w:pStyle w:val="a5"/>
        <w:numPr>
          <w:ilvl w:val="0"/>
          <w:numId w:val="11"/>
        </w:numPr>
        <w:spacing w:line="360" w:lineRule="exact"/>
        <w:jc w:val="both"/>
        <w:rPr>
          <w:sz w:val="28"/>
          <w:szCs w:val="28"/>
        </w:rPr>
      </w:pPr>
      <w:r w:rsidRPr="003C692B">
        <w:rPr>
          <w:sz w:val="28"/>
          <w:szCs w:val="28"/>
        </w:rPr>
        <w:t>на 202</w:t>
      </w:r>
      <w:r>
        <w:rPr>
          <w:sz w:val="28"/>
          <w:szCs w:val="28"/>
        </w:rPr>
        <w:t>3</w:t>
      </w:r>
      <w:r w:rsidRPr="003C692B">
        <w:rPr>
          <w:sz w:val="28"/>
          <w:szCs w:val="28"/>
        </w:rPr>
        <w:t xml:space="preserve"> год в сумме</w:t>
      </w:r>
      <w:r>
        <w:rPr>
          <w:sz w:val="28"/>
          <w:szCs w:val="28"/>
        </w:rPr>
        <w:t xml:space="preserve"> 3</w:t>
      </w:r>
      <w:r w:rsidR="005975C2">
        <w:rPr>
          <w:sz w:val="28"/>
          <w:szCs w:val="28"/>
        </w:rPr>
        <w:t xml:space="preserve"> </w:t>
      </w:r>
      <w:r>
        <w:rPr>
          <w:sz w:val="28"/>
          <w:szCs w:val="28"/>
        </w:rPr>
        <w:t>100</w:t>
      </w:r>
      <w:r w:rsidRPr="003C692B">
        <w:rPr>
          <w:sz w:val="28"/>
          <w:szCs w:val="28"/>
        </w:rPr>
        <w:t> </w:t>
      </w:r>
      <w:r>
        <w:rPr>
          <w:sz w:val="28"/>
          <w:szCs w:val="28"/>
        </w:rPr>
        <w:t>606,0</w:t>
      </w:r>
      <w:r w:rsidRPr="003C692B">
        <w:rPr>
          <w:sz w:val="28"/>
          <w:szCs w:val="28"/>
        </w:rPr>
        <w:t xml:space="preserve"> тыс.</w:t>
      </w:r>
      <w:r>
        <w:rPr>
          <w:sz w:val="28"/>
          <w:szCs w:val="28"/>
        </w:rPr>
        <w:t xml:space="preserve"> </w:t>
      </w:r>
      <w:r w:rsidRPr="003C692B">
        <w:rPr>
          <w:sz w:val="28"/>
          <w:szCs w:val="28"/>
        </w:rPr>
        <w:t>руб.</w:t>
      </w:r>
    </w:p>
    <w:p w:rsidR="00BB36A3" w:rsidRDefault="00BB36A3" w:rsidP="00BB36A3">
      <w:pPr>
        <w:spacing w:line="360" w:lineRule="exact"/>
        <w:jc w:val="both"/>
        <w:rPr>
          <w:sz w:val="28"/>
          <w:szCs w:val="28"/>
        </w:rPr>
      </w:pPr>
      <w:r w:rsidRPr="00595234">
        <w:rPr>
          <w:sz w:val="28"/>
          <w:szCs w:val="28"/>
        </w:rPr>
        <w:tab/>
        <w:t>При формировании бюджета Соликамского городского округа на 202</w:t>
      </w:r>
      <w:r>
        <w:rPr>
          <w:sz w:val="28"/>
          <w:szCs w:val="28"/>
        </w:rPr>
        <w:t>1</w:t>
      </w:r>
      <w:r w:rsidRPr="00595234">
        <w:rPr>
          <w:sz w:val="28"/>
          <w:szCs w:val="28"/>
        </w:rPr>
        <w:t xml:space="preserve"> год </w:t>
      </w:r>
      <w:r>
        <w:rPr>
          <w:sz w:val="28"/>
          <w:szCs w:val="28"/>
        </w:rPr>
        <w:t>и</w:t>
      </w:r>
      <w:r w:rsidRPr="00595234">
        <w:rPr>
          <w:sz w:val="28"/>
          <w:szCs w:val="28"/>
        </w:rPr>
        <w:t xml:space="preserve"> плановый период 202</w:t>
      </w:r>
      <w:r>
        <w:rPr>
          <w:sz w:val="28"/>
          <w:szCs w:val="28"/>
        </w:rPr>
        <w:t>2</w:t>
      </w:r>
      <w:r w:rsidRPr="00595234">
        <w:rPr>
          <w:sz w:val="28"/>
          <w:szCs w:val="28"/>
        </w:rPr>
        <w:t>-202</w:t>
      </w:r>
      <w:r>
        <w:rPr>
          <w:sz w:val="28"/>
          <w:szCs w:val="28"/>
        </w:rPr>
        <w:t>3</w:t>
      </w:r>
      <w:r w:rsidRPr="00595234">
        <w:rPr>
          <w:sz w:val="28"/>
          <w:szCs w:val="28"/>
        </w:rPr>
        <w:t xml:space="preserve"> гг. использован программно-целевой метод планирования расходов, распределение бюджетных ассигнований осуществлено по муниципальным программам и непрограммным направлениям деятельности.</w:t>
      </w:r>
    </w:p>
    <w:p w:rsidR="00BB36A3" w:rsidRDefault="00BB36A3" w:rsidP="00BB36A3">
      <w:pPr>
        <w:spacing w:line="360" w:lineRule="exact"/>
        <w:jc w:val="both"/>
        <w:rPr>
          <w:sz w:val="28"/>
          <w:szCs w:val="28"/>
        </w:rPr>
      </w:pPr>
      <w:r w:rsidRPr="00595234">
        <w:rPr>
          <w:sz w:val="28"/>
          <w:szCs w:val="28"/>
        </w:rPr>
        <w:tab/>
        <w:t>Удельный вес расходов бюджета, сформированных в соответствии с программно-целевым методом бюджетного планирования, по отношению к общему объему расходов мест</w:t>
      </w:r>
      <w:r>
        <w:rPr>
          <w:sz w:val="28"/>
          <w:szCs w:val="28"/>
        </w:rPr>
        <w:t>ного бюджета составляет: на 2021</w:t>
      </w:r>
      <w:r w:rsidRPr="00595234">
        <w:rPr>
          <w:sz w:val="28"/>
          <w:szCs w:val="28"/>
        </w:rPr>
        <w:t xml:space="preserve"> год – 9</w:t>
      </w:r>
      <w:r>
        <w:rPr>
          <w:sz w:val="28"/>
          <w:szCs w:val="28"/>
        </w:rPr>
        <w:t>9,1</w:t>
      </w:r>
      <w:r w:rsidRPr="00595234">
        <w:rPr>
          <w:sz w:val="28"/>
          <w:szCs w:val="28"/>
        </w:rPr>
        <w:t>%, 202</w:t>
      </w:r>
      <w:r>
        <w:rPr>
          <w:sz w:val="28"/>
          <w:szCs w:val="28"/>
        </w:rPr>
        <w:t xml:space="preserve">2 год </w:t>
      </w:r>
      <w:r w:rsidR="005975C2">
        <w:rPr>
          <w:sz w:val="28"/>
          <w:szCs w:val="28"/>
        </w:rPr>
        <w:t>–</w:t>
      </w:r>
      <w:r>
        <w:rPr>
          <w:sz w:val="28"/>
          <w:szCs w:val="28"/>
        </w:rPr>
        <w:t xml:space="preserve"> 96,5%</w:t>
      </w:r>
      <w:r w:rsidRPr="00595234">
        <w:rPr>
          <w:sz w:val="28"/>
          <w:szCs w:val="28"/>
        </w:rPr>
        <w:t xml:space="preserve"> и</w:t>
      </w:r>
      <w:r>
        <w:rPr>
          <w:sz w:val="28"/>
          <w:szCs w:val="28"/>
        </w:rPr>
        <w:t xml:space="preserve"> </w:t>
      </w:r>
      <w:r w:rsidRPr="00595234">
        <w:rPr>
          <w:sz w:val="28"/>
          <w:szCs w:val="28"/>
        </w:rPr>
        <w:t>202</w:t>
      </w:r>
      <w:r>
        <w:rPr>
          <w:sz w:val="28"/>
          <w:szCs w:val="28"/>
        </w:rPr>
        <w:t>3</w:t>
      </w:r>
      <w:r w:rsidRPr="00595234">
        <w:rPr>
          <w:sz w:val="28"/>
          <w:szCs w:val="28"/>
        </w:rPr>
        <w:t xml:space="preserve"> год – 92,</w:t>
      </w:r>
      <w:r>
        <w:rPr>
          <w:sz w:val="28"/>
          <w:szCs w:val="28"/>
        </w:rPr>
        <w:t>7</w:t>
      </w:r>
      <w:r w:rsidRPr="00595234">
        <w:rPr>
          <w:sz w:val="28"/>
          <w:szCs w:val="28"/>
        </w:rPr>
        <w:t>%.</w:t>
      </w:r>
    </w:p>
    <w:p w:rsidR="00BB36A3" w:rsidRDefault="00BB36A3" w:rsidP="00BB36A3">
      <w:pPr>
        <w:spacing w:line="360" w:lineRule="exact"/>
        <w:ind w:firstLine="709"/>
        <w:jc w:val="center"/>
        <w:rPr>
          <w:b/>
        </w:rPr>
      </w:pPr>
      <w:r w:rsidRPr="00EA700D">
        <w:rPr>
          <w:b/>
        </w:rPr>
        <w:t>Динамика расходов бюджета городского округа в разрезе программных и непрограммных направлений деятельности на 2021-2023 годы (тыс. руб.)</w:t>
      </w:r>
    </w:p>
    <w:p w:rsidR="00BB36A3" w:rsidRPr="00EA700D" w:rsidRDefault="00BB36A3" w:rsidP="00BB36A3">
      <w:pPr>
        <w:spacing w:after="200" w:line="276" w:lineRule="auto"/>
        <w:jc w:val="center"/>
        <w:rPr>
          <w:rFonts w:asciiTheme="minorHAnsi" w:eastAsiaTheme="minorHAnsi" w:hAnsiTheme="minorHAnsi" w:cstheme="minorBidi"/>
          <w:sz w:val="22"/>
          <w:szCs w:val="22"/>
          <w:lang w:eastAsia="en-US"/>
        </w:rPr>
      </w:pPr>
      <w:r w:rsidRPr="00EA700D">
        <w:rPr>
          <w:rFonts w:asciiTheme="minorHAnsi" w:eastAsiaTheme="minorHAnsi" w:hAnsiTheme="minorHAnsi" w:cstheme="minorBidi"/>
          <w:noProof/>
          <w:sz w:val="22"/>
          <w:szCs w:val="22"/>
        </w:rPr>
        <w:lastRenderedPageBreak/>
        <w:drawing>
          <wp:inline distT="0" distB="0" distL="0" distR="0" wp14:anchorId="233A19C0" wp14:editId="06FAA695">
            <wp:extent cx="6210300" cy="2562225"/>
            <wp:effectExtent l="0" t="0" r="1905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36A3" w:rsidRPr="00AE1A73" w:rsidRDefault="00BB36A3" w:rsidP="00BB36A3">
      <w:pPr>
        <w:spacing w:line="360" w:lineRule="exact"/>
        <w:ind w:firstLine="709"/>
        <w:jc w:val="both"/>
        <w:rPr>
          <w:sz w:val="28"/>
          <w:szCs w:val="28"/>
        </w:rPr>
      </w:pPr>
      <w:r w:rsidRPr="00AE1A73">
        <w:rPr>
          <w:sz w:val="28"/>
          <w:szCs w:val="28"/>
        </w:rPr>
        <w:t xml:space="preserve">Проект бюджета Соликамского городского округа </w:t>
      </w:r>
      <w:r w:rsidRPr="00AE1A73">
        <w:rPr>
          <w:b/>
          <w:sz w:val="28"/>
          <w:szCs w:val="28"/>
        </w:rPr>
        <w:t>на 202</w:t>
      </w:r>
      <w:r>
        <w:rPr>
          <w:b/>
          <w:sz w:val="28"/>
          <w:szCs w:val="28"/>
        </w:rPr>
        <w:t>1</w:t>
      </w:r>
      <w:r w:rsidRPr="00AE1A73">
        <w:rPr>
          <w:b/>
          <w:sz w:val="28"/>
          <w:szCs w:val="28"/>
        </w:rPr>
        <w:t xml:space="preserve"> год</w:t>
      </w:r>
      <w:r w:rsidRPr="00AE1A73">
        <w:rPr>
          <w:sz w:val="28"/>
          <w:szCs w:val="28"/>
        </w:rPr>
        <w:t xml:space="preserve"> по расходам сформирован в размере </w:t>
      </w:r>
      <w:r w:rsidRPr="00AE1A73">
        <w:rPr>
          <w:b/>
          <w:sz w:val="28"/>
          <w:szCs w:val="28"/>
        </w:rPr>
        <w:t>3</w:t>
      </w:r>
      <w:r>
        <w:rPr>
          <w:b/>
          <w:sz w:val="28"/>
          <w:szCs w:val="28"/>
        </w:rPr>
        <w:t> 869 699,4</w:t>
      </w:r>
      <w:r w:rsidRPr="00AE1A73">
        <w:rPr>
          <w:b/>
          <w:sz w:val="28"/>
          <w:szCs w:val="28"/>
        </w:rPr>
        <w:t xml:space="preserve"> </w:t>
      </w:r>
      <w:r w:rsidRPr="00AE1A73">
        <w:rPr>
          <w:sz w:val="28"/>
          <w:szCs w:val="28"/>
        </w:rPr>
        <w:t xml:space="preserve">тыс. руб. В сравнении с </w:t>
      </w:r>
      <w:r>
        <w:rPr>
          <w:sz w:val="28"/>
          <w:szCs w:val="28"/>
        </w:rPr>
        <w:t>ранее утвержденным бюджетом на 2021</w:t>
      </w:r>
      <w:r w:rsidRPr="00AE1A73">
        <w:rPr>
          <w:sz w:val="28"/>
          <w:szCs w:val="28"/>
        </w:rPr>
        <w:t xml:space="preserve"> год </w:t>
      </w:r>
      <w:r w:rsidR="000C373F">
        <w:rPr>
          <w:sz w:val="28"/>
          <w:szCs w:val="28"/>
        </w:rPr>
        <w:t xml:space="preserve">(в редакции от 30.09.2020 г.) </w:t>
      </w:r>
      <w:r w:rsidRPr="00AE1A73">
        <w:rPr>
          <w:sz w:val="28"/>
          <w:szCs w:val="28"/>
        </w:rPr>
        <w:t xml:space="preserve">предлагается увеличить расходы на сумму </w:t>
      </w:r>
      <w:r w:rsidR="0068036F" w:rsidRPr="000C373F">
        <w:rPr>
          <w:b/>
          <w:sz w:val="28"/>
          <w:szCs w:val="28"/>
        </w:rPr>
        <w:t>186 237,4</w:t>
      </w:r>
      <w:r w:rsidRPr="000C373F">
        <w:rPr>
          <w:sz w:val="28"/>
          <w:szCs w:val="28"/>
        </w:rPr>
        <w:t xml:space="preserve"> тыс. руб</w:t>
      </w:r>
      <w:r w:rsidR="00CD2831" w:rsidRPr="000C373F">
        <w:rPr>
          <w:sz w:val="28"/>
          <w:szCs w:val="28"/>
        </w:rPr>
        <w:t>.</w:t>
      </w:r>
      <w:r w:rsidRPr="000C373F">
        <w:rPr>
          <w:sz w:val="28"/>
          <w:szCs w:val="28"/>
        </w:rPr>
        <w:t xml:space="preserve">, или на </w:t>
      </w:r>
      <w:r w:rsidR="000E5FD1" w:rsidRPr="000C373F">
        <w:rPr>
          <w:sz w:val="28"/>
          <w:szCs w:val="28"/>
        </w:rPr>
        <w:t>5,1</w:t>
      </w:r>
      <w:r w:rsidRPr="000C373F">
        <w:rPr>
          <w:sz w:val="28"/>
          <w:szCs w:val="28"/>
        </w:rPr>
        <w:t xml:space="preserve"> %.</w:t>
      </w:r>
      <w:r>
        <w:rPr>
          <w:sz w:val="28"/>
          <w:szCs w:val="28"/>
        </w:rPr>
        <w:t xml:space="preserve">  </w:t>
      </w:r>
    </w:p>
    <w:p w:rsidR="00BB36A3" w:rsidRPr="00B8624A" w:rsidRDefault="00BB36A3" w:rsidP="00BB36A3">
      <w:pPr>
        <w:spacing w:line="360" w:lineRule="exact"/>
        <w:ind w:firstLine="709"/>
        <w:jc w:val="both"/>
        <w:rPr>
          <w:sz w:val="28"/>
          <w:szCs w:val="28"/>
        </w:rPr>
      </w:pPr>
      <w:r w:rsidRPr="00B8624A">
        <w:rPr>
          <w:sz w:val="28"/>
          <w:szCs w:val="28"/>
        </w:rPr>
        <w:t>Структура расходов по разделам и подразделам представлена на диаграмме, тыс. руб.</w:t>
      </w:r>
    </w:p>
    <w:p w:rsidR="00BB36A3" w:rsidRPr="00AE1A73" w:rsidRDefault="00BB36A3" w:rsidP="00BB36A3">
      <w:pPr>
        <w:ind w:firstLine="709"/>
        <w:jc w:val="both"/>
        <w:rPr>
          <w:sz w:val="28"/>
          <w:szCs w:val="28"/>
        </w:rPr>
      </w:pPr>
      <w:r w:rsidRPr="00AE1A73">
        <w:rPr>
          <w:noProof/>
          <w:sz w:val="28"/>
          <w:szCs w:val="28"/>
        </w:rPr>
        <w:drawing>
          <wp:inline distT="0" distB="0" distL="0" distR="0" wp14:anchorId="7048462B" wp14:editId="1FB8E333">
            <wp:extent cx="5791200" cy="3057525"/>
            <wp:effectExtent l="0" t="0" r="0" b="0"/>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B36A3" w:rsidRPr="00AE1A73" w:rsidRDefault="00BB36A3" w:rsidP="00BB36A3">
      <w:pPr>
        <w:spacing w:line="360" w:lineRule="exact"/>
        <w:jc w:val="both"/>
        <w:rPr>
          <w:sz w:val="28"/>
          <w:szCs w:val="28"/>
        </w:rPr>
      </w:pPr>
      <w:r w:rsidRPr="00AE1A73">
        <w:rPr>
          <w:sz w:val="28"/>
          <w:szCs w:val="28"/>
        </w:rPr>
        <w:tab/>
        <w:t>В составе муниципальных программ распределены расходы в объеме –  3</w:t>
      </w:r>
      <w:r>
        <w:rPr>
          <w:sz w:val="28"/>
          <w:szCs w:val="28"/>
        </w:rPr>
        <w:t> 833 </w:t>
      </w:r>
      <w:r w:rsidR="00F92275">
        <w:rPr>
          <w:sz w:val="28"/>
          <w:szCs w:val="28"/>
        </w:rPr>
        <w:t>3</w:t>
      </w:r>
      <w:r>
        <w:rPr>
          <w:sz w:val="28"/>
          <w:szCs w:val="28"/>
        </w:rPr>
        <w:t>08,1</w:t>
      </w:r>
      <w:r w:rsidRPr="00AE1A73">
        <w:rPr>
          <w:sz w:val="28"/>
          <w:szCs w:val="28"/>
        </w:rPr>
        <w:t xml:space="preserve"> тыс. руб. или 9</w:t>
      </w:r>
      <w:r>
        <w:rPr>
          <w:sz w:val="28"/>
          <w:szCs w:val="28"/>
        </w:rPr>
        <w:t>9</w:t>
      </w:r>
      <w:r w:rsidRPr="00AE1A73">
        <w:rPr>
          <w:sz w:val="28"/>
          <w:szCs w:val="28"/>
        </w:rPr>
        <w:t>,</w:t>
      </w:r>
      <w:r>
        <w:rPr>
          <w:sz w:val="28"/>
          <w:szCs w:val="28"/>
        </w:rPr>
        <w:t>1</w:t>
      </w:r>
      <w:r w:rsidRPr="00AE1A73">
        <w:rPr>
          <w:sz w:val="28"/>
          <w:szCs w:val="28"/>
        </w:rPr>
        <w:t xml:space="preserve"> % от общего объема расходов, на мероприятия непрограммных направлений – </w:t>
      </w:r>
      <w:r>
        <w:rPr>
          <w:sz w:val="28"/>
          <w:szCs w:val="28"/>
        </w:rPr>
        <w:t>36 391,3</w:t>
      </w:r>
      <w:r w:rsidRPr="00AE1A73">
        <w:rPr>
          <w:sz w:val="28"/>
          <w:szCs w:val="28"/>
        </w:rPr>
        <w:t xml:space="preserve"> тыс. руб. или </w:t>
      </w:r>
      <w:r>
        <w:rPr>
          <w:sz w:val="28"/>
          <w:szCs w:val="28"/>
        </w:rPr>
        <w:t>0,9</w:t>
      </w:r>
      <w:r w:rsidRPr="00AE1A73">
        <w:rPr>
          <w:sz w:val="28"/>
          <w:szCs w:val="28"/>
        </w:rPr>
        <w:t xml:space="preserve"> %. </w:t>
      </w:r>
      <w:r w:rsidRPr="00AE1A73">
        <w:rPr>
          <w:sz w:val="28"/>
          <w:szCs w:val="28"/>
        </w:rPr>
        <w:tab/>
      </w:r>
    </w:p>
    <w:p w:rsidR="00BB36A3" w:rsidRPr="00AE1A73" w:rsidRDefault="00BB36A3" w:rsidP="00BB36A3">
      <w:pPr>
        <w:spacing w:line="360" w:lineRule="exact"/>
        <w:rPr>
          <w:sz w:val="28"/>
          <w:szCs w:val="28"/>
        </w:rPr>
      </w:pPr>
    </w:p>
    <w:p w:rsidR="00BB36A3" w:rsidRPr="00AE1A73" w:rsidRDefault="00BB36A3" w:rsidP="00BB36A3">
      <w:pPr>
        <w:spacing w:line="360" w:lineRule="exact"/>
        <w:rPr>
          <w:b/>
          <w:sz w:val="28"/>
          <w:szCs w:val="28"/>
          <w:u w:val="single"/>
        </w:rPr>
      </w:pPr>
      <w:r w:rsidRPr="00AE1A73">
        <w:rPr>
          <w:sz w:val="28"/>
          <w:szCs w:val="28"/>
        </w:rPr>
        <w:tab/>
      </w:r>
      <w:r w:rsidRPr="00AE1A73">
        <w:rPr>
          <w:b/>
          <w:sz w:val="28"/>
          <w:szCs w:val="28"/>
          <w:u w:val="single"/>
        </w:rPr>
        <w:t xml:space="preserve">Значимые расходы, предусмотренные за счет средств </w:t>
      </w:r>
      <w:r w:rsidRPr="00112386">
        <w:rPr>
          <w:b/>
          <w:sz w:val="28"/>
          <w:szCs w:val="28"/>
          <w:u w:val="single"/>
        </w:rPr>
        <w:t>местного бюджета</w:t>
      </w:r>
      <w:r w:rsidRPr="00AE1A73">
        <w:rPr>
          <w:b/>
          <w:sz w:val="28"/>
          <w:szCs w:val="28"/>
          <w:u w:val="single"/>
        </w:rPr>
        <w:t xml:space="preserve"> на 202</w:t>
      </w:r>
      <w:r>
        <w:rPr>
          <w:b/>
          <w:sz w:val="28"/>
          <w:szCs w:val="28"/>
          <w:u w:val="single"/>
        </w:rPr>
        <w:t>1</w:t>
      </w:r>
      <w:r w:rsidRPr="00AE1A73">
        <w:rPr>
          <w:b/>
          <w:sz w:val="28"/>
          <w:szCs w:val="28"/>
          <w:u w:val="single"/>
        </w:rPr>
        <w:t xml:space="preserve"> год:</w:t>
      </w:r>
    </w:p>
    <w:p w:rsidR="004E1C31" w:rsidRDefault="00BB36A3" w:rsidP="004E1C31">
      <w:pPr>
        <w:pStyle w:val="a5"/>
        <w:widowControl w:val="0"/>
        <w:numPr>
          <w:ilvl w:val="0"/>
          <w:numId w:val="20"/>
        </w:numPr>
        <w:spacing w:line="360" w:lineRule="exact"/>
        <w:jc w:val="both"/>
        <w:rPr>
          <w:sz w:val="28"/>
          <w:szCs w:val="28"/>
        </w:rPr>
      </w:pPr>
      <w:r w:rsidRPr="00AE1A73">
        <w:rPr>
          <w:sz w:val="28"/>
          <w:szCs w:val="28"/>
        </w:rPr>
        <w:t xml:space="preserve">Строительство школы на 825 мест в микрорайоне </w:t>
      </w:r>
      <w:proofErr w:type="spellStart"/>
      <w:r w:rsidRPr="00AE1A73">
        <w:rPr>
          <w:sz w:val="28"/>
          <w:szCs w:val="28"/>
        </w:rPr>
        <w:t>Клестовка</w:t>
      </w:r>
      <w:proofErr w:type="spellEnd"/>
      <w:r w:rsidRPr="00AE1A73">
        <w:rPr>
          <w:sz w:val="28"/>
          <w:szCs w:val="28"/>
        </w:rPr>
        <w:t xml:space="preserve"> г. Соликамск –   </w:t>
      </w:r>
      <w:r w:rsidRPr="001874F0">
        <w:rPr>
          <w:b/>
          <w:sz w:val="28"/>
          <w:szCs w:val="28"/>
        </w:rPr>
        <w:t>28 815,0 тыс. руб.</w:t>
      </w:r>
      <w:r w:rsidRPr="001874F0">
        <w:rPr>
          <w:sz w:val="28"/>
          <w:szCs w:val="28"/>
        </w:rPr>
        <w:t>;</w:t>
      </w:r>
    </w:p>
    <w:p w:rsidR="004E1C31" w:rsidRDefault="00BB36A3" w:rsidP="004B462D">
      <w:pPr>
        <w:pStyle w:val="a5"/>
        <w:widowControl w:val="0"/>
        <w:numPr>
          <w:ilvl w:val="0"/>
          <w:numId w:val="20"/>
        </w:numPr>
        <w:spacing w:line="360" w:lineRule="exact"/>
        <w:ind w:left="0" w:firstLine="360"/>
        <w:jc w:val="both"/>
        <w:rPr>
          <w:sz w:val="28"/>
          <w:szCs w:val="28"/>
        </w:rPr>
      </w:pPr>
      <w:r w:rsidRPr="004E1C31">
        <w:rPr>
          <w:sz w:val="28"/>
          <w:szCs w:val="28"/>
        </w:rPr>
        <w:lastRenderedPageBreak/>
        <w:t xml:space="preserve">Строительство крытого ледового катка с искусственным покрытием в г. Соликамске  – </w:t>
      </w:r>
      <w:r w:rsidRPr="004E1C31">
        <w:rPr>
          <w:b/>
          <w:sz w:val="28"/>
          <w:szCs w:val="28"/>
        </w:rPr>
        <w:t>7 539,4 тыс. руб.;</w:t>
      </w:r>
    </w:p>
    <w:p w:rsidR="004E1C31" w:rsidRDefault="00BB36A3" w:rsidP="004E1C31">
      <w:pPr>
        <w:pStyle w:val="a5"/>
        <w:widowControl w:val="0"/>
        <w:numPr>
          <w:ilvl w:val="0"/>
          <w:numId w:val="20"/>
        </w:numPr>
        <w:spacing w:line="360" w:lineRule="exact"/>
        <w:jc w:val="both"/>
        <w:rPr>
          <w:sz w:val="28"/>
          <w:szCs w:val="28"/>
        </w:rPr>
      </w:pPr>
      <w:r w:rsidRPr="004E1C31">
        <w:rPr>
          <w:sz w:val="28"/>
          <w:szCs w:val="28"/>
        </w:rPr>
        <w:t xml:space="preserve">Публичные нормативные обязательства – </w:t>
      </w:r>
      <w:r w:rsidRPr="004E1C31">
        <w:rPr>
          <w:b/>
          <w:sz w:val="28"/>
          <w:szCs w:val="28"/>
        </w:rPr>
        <w:t>19 246,0 тыс. руб.</w:t>
      </w:r>
      <w:r w:rsidRPr="004E1C31">
        <w:rPr>
          <w:sz w:val="28"/>
          <w:szCs w:val="28"/>
        </w:rPr>
        <w:t>;</w:t>
      </w:r>
    </w:p>
    <w:p w:rsidR="004E1C31" w:rsidRDefault="00BB36A3" w:rsidP="004B462D">
      <w:pPr>
        <w:pStyle w:val="a5"/>
        <w:widowControl w:val="0"/>
        <w:numPr>
          <w:ilvl w:val="0"/>
          <w:numId w:val="20"/>
        </w:numPr>
        <w:spacing w:line="360" w:lineRule="exact"/>
        <w:ind w:left="0" w:firstLine="360"/>
        <w:jc w:val="both"/>
        <w:rPr>
          <w:sz w:val="28"/>
          <w:szCs w:val="28"/>
        </w:rPr>
      </w:pPr>
      <w:r w:rsidRPr="004E1C31">
        <w:rPr>
          <w:sz w:val="28"/>
          <w:szCs w:val="28"/>
        </w:rPr>
        <w:t xml:space="preserve">На капитальный ремонт автомобильных дорог для выполнения обязательств по софинансированию, по привлечению средств за счет Дорожного фонда Пермского края – </w:t>
      </w:r>
      <w:r w:rsidRPr="004E1C31">
        <w:rPr>
          <w:b/>
          <w:sz w:val="28"/>
          <w:szCs w:val="28"/>
        </w:rPr>
        <w:t xml:space="preserve">14 900,0  тыс. руб. </w:t>
      </w:r>
      <w:r w:rsidRPr="004E1C31">
        <w:rPr>
          <w:sz w:val="28"/>
          <w:szCs w:val="28"/>
        </w:rPr>
        <w:t xml:space="preserve">и </w:t>
      </w:r>
      <w:r w:rsidRPr="004E1C31">
        <w:rPr>
          <w:b/>
          <w:sz w:val="28"/>
          <w:szCs w:val="28"/>
        </w:rPr>
        <w:t>21 948,2 тыс.</w:t>
      </w:r>
      <w:r w:rsidR="005275A0">
        <w:rPr>
          <w:b/>
          <w:sz w:val="28"/>
          <w:szCs w:val="28"/>
        </w:rPr>
        <w:t xml:space="preserve"> </w:t>
      </w:r>
      <w:r w:rsidRPr="004E1C31">
        <w:rPr>
          <w:b/>
          <w:sz w:val="28"/>
          <w:szCs w:val="28"/>
        </w:rPr>
        <w:t>руб</w:t>
      </w:r>
      <w:r w:rsidR="005275A0">
        <w:rPr>
          <w:b/>
          <w:sz w:val="28"/>
          <w:szCs w:val="28"/>
        </w:rPr>
        <w:t>.</w:t>
      </w:r>
      <w:r w:rsidRPr="004E1C31">
        <w:rPr>
          <w:b/>
          <w:sz w:val="28"/>
          <w:szCs w:val="28"/>
        </w:rPr>
        <w:t xml:space="preserve"> </w:t>
      </w:r>
      <w:r w:rsidRPr="004E1C31">
        <w:rPr>
          <w:sz w:val="28"/>
          <w:szCs w:val="28"/>
        </w:rPr>
        <w:t xml:space="preserve">запланировано для проведения ремонтных работ дополнительно за счет бюджета СГО; </w:t>
      </w:r>
    </w:p>
    <w:p w:rsidR="004E1C31" w:rsidRDefault="00BB36A3" w:rsidP="004E1C31">
      <w:pPr>
        <w:pStyle w:val="a5"/>
        <w:widowControl w:val="0"/>
        <w:numPr>
          <w:ilvl w:val="0"/>
          <w:numId w:val="20"/>
        </w:numPr>
        <w:spacing w:line="360" w:lineRule="exact"/>
        <w:jc w:val="both"/>
        <w:rPr>
          <w:sz w:val="28"/>
          <w:szCs w:val="28"/>
        </w:rPr>
      </w:pPr>
      <w:r w:rsidRPr="004E1C31">
        <w:rPr>
          <w:sz w:val="28"/>
          <w:szCs w:val="28"/>
        </w:rPr>
        <w:t xml:space="preserve">Содержание автомобильных дорог и элементов благоустройства </w:t>
      </w:r>
      <w:r w:rsidR="004B462D">
        <w:rPr>
          <w:sz w:val="28"/>
          <w:szCs w:val="28"/>
        </w:rPr>
        <w:t>–</w:t>
      </w:r>
      <w:r w:rsidRPr="004E1C31">
        <w:rPr>
          <w:sz w:val="28"/>
          <w:szCs w:val="28"/>
        </w:rPr>
        <w:t xml:space="preserve"> </w:t>
      </w:r>
      <w:r w:rsidRPr="004E1C31">
        <w:rPr>
          <w:b/>
          <w:sz w:val="28"/>
          <w:szCs w:val="28"/>
        </w:rPr>
        <w:t>181 394,5</w:t>
      </w:r>
      <w:r w:rsidRPr="004E1C31">
        <w:rPr>
          <w:sz w:val="28"/>
          <w:szCs w:val="28"/>
        </w:rPr>
        <w:t xml:space="preserve"> </w:t>
      </w:r>
      <w:proofErr w:type="spellStart"/>
      <w:r w:rsidRPr="004E1C31">
        <w:rPr>
          <w:sz w:val="28"/>
          <w:szCs w:val="28"/>
        </w:rPr>
        <w:t>тыс</w:t>
      </w:r>
      <w:proofErr w:type="gramStart"/>
      <w:r w:rsidRPr="004E1C31">
        <w:rPr>
          <w:sz w:val="28"/>
          <w:szCs w:val="28"/>
        </w:rPr>
        <w:t>.р</w:t>
      </w:r>
      <w:proofErr w:type="gramEnd"/>
      <w:r w:rsidRPr="004E1C31">
        <w:rPr>
          <w:sz w:val="28"/>
          <w:szCs w:val="28"/>
        </w:rPr>
        <w:t>уб</w:t>
      </w:r>
      <w:proofErr w:type="spellEnd"/>
      <w:r w:rsidRPr="004E1C31">
        <w:rPr>
          <w:sz w:val="28"/>
          <w:szCs w:val="28"/>
        </w:rPr>
        <w:t>.</w:t>
      </w:r>
    </w:p>
    <w:p w:rsidR="004E1C31" w:rsidRDefault="00BB36A3" w:rsidP="004B462D">
      <w:pPr>
        <w:pStyle w:val="a5"/>
        <w:widowControl w:val="0"/>
        <w:numPr>
          <w:ilvl w:val="0"/>
          <w:numId w:val="20"/>
        </w:numPr>
        <w:spacing w:line="360" w:lineRule="exact"/>
        <w:ind w:left="0" w:firstLine="360"/>
        <w:jc w:val="both"/>
        <w:rPr>
          <w:sz w:val="28"/>
          <w:szCs w:val="28"/>
        </w:rPr>
      </w:pPr>
      <w:r w:rsidRPr="004E1C31">
        <w:rPr>
          <w:sz w:val="28"/>
          <w:szCs w:val="28"/>
        </w:rPr>
        <w:t xml:space="preserve">Оплата взносов на капитальный ремонт многоквартирных домов за муниципальный жилищный фонд </w:t>
      </w:r>
      <w:proofErr w:type="gramStart"/>
      <w:r w:rsidRPr="004E1C31">
        <w:rPr>
          <w:sz w:val="28"/>
          <w:szCs w:val="28"/>
        </w:rPr>
        <w:t>в</w:t>
      </w:r>
      <w:proofErr w:type="gramEnd"/>
      <w:r w:rsidRPr="004E1C31">
        <w:rPr>
          <w:sz w:val="28"/>
          <w:szCs w:val="28"/>
        </w:rPr>
        <w:t xml:space="preserve"> региональный Фонда капитального ремонта– </w:t>
      </w:r>
      <w:r w:rsidRPr="004E1C31">
        <w:rPr>
          <w:b/>
          <w:sz w:val="28"/>
          <w:szCs w:val="28"/>
        </w:rPr>
        <w:t>9 589,</w:t>
      </w:r>
      <w:r w:rsidR="005275A0">
        <w:rPr>
          <w:b/>
          <w:sz w:val="28"/>
          <w:szCs w:val="28"/>
        </w:rPr>
        <w:t>2</w:t>
      </w:r>
      <w:r w:rsidRPr="004E1C31">
        <w:rPr>
          <w:b/>
          <w:sz w:val="28"/>
          <w:szCs w:val="28"/>
        </w:rPr>
        <w:t xml:space="preserve"> тыс. руб.</w:t>
      </w:r>
      <w:r w:rsidRPr="004E1C31">
        <w:rPr>
          <w:sz w:val="28"/>
          <w:szCs w:val="28"/>
        </w:rPr>
        <w:t>;</w:t>
      </w:r>
    </w:p>
    <w:p w:rsidR="004E1C31" w:rsidRDefault="00BB36A3" w:rsidP="004B462D">
      <w:pPr>
        <w:pStyle w:val="a5"/>
        <w:widowControl w:val="0"/>
        <w:numPr>
          <w:ilvl w:val="0"/>
          <w:numId w:val="20"/>
        </w:numPr>
        <w:spacing w:line="360" w:lineRule="exact"/>
        <w:ind w:left="0" w:firstLine="360"/>
        <w:jc w:val="both"/>
        <w:rPr>
          <w:sz w:val="28"/>
          <w:szCs w:val="28"/>
        </w:rPr>
      </w:pPr>
      <w:r w:rsidRPr="004E1C31">
        <w:rPr>
          <w:sz w:val="28"/>
          <w:szCs w:val="28"/>
        </w:rPr>
        <w:t>Строительство универсальной спортивной площадки с искусственным покрытием (межшкольный стадион) по адресу: ул. Набережная, д. 169 в г.</w:t>
      </w:r>
      <w:r w:rsidR="004B462D">
        <w:rPr>
          <w:sz w:val="28"/>
          <w:szCs w:val="28"/>
        </w:rPr>
        <w:t xml:space="preserve"> </w:t>
      </w:r>
      <w:r w:rsidRPr="004E1C31">
        <w:rPr>
          <w:sz w:val="28"/>
          <w:szCs w:val="28"/>
        </w:rPr>
        <w:t xml:space="preserve">Соликамске Пермского края – </w:t>
      </w:r>
      <w:r w:rsidRPr="004E1C31">
        <w:rPr>
          <w:b/>
          <w:sz w:val="28"/>
          <w:szCs w:val="28"/>
        </w:rPr>
        <w:t>3 699,1 тыс. руб.</w:t>
      </w:r>
      <w:r w:rsidRPr="004E1C31">
        <w:rPr>
          <w:sz w:val="28"/>
          <w:szCs w:val="28"/>
        </w:rPr>
        <w:t>;</w:t>
      </w:r>
    </w:p>
    <w:p w:rsidR="00BB36A3" w:rsidRPr="004E1C31" w:rsidRDefault="00BB36A3" w:rsidP="004B462D">
      <w:pPr>
        <w:pStyle w:val="a5"/>
        <w:widowControl w:val="0"/>
        <w:numPr>
          <w:ilvl w:val="0"/>
          <w:numId w:val="20"/>
        </w:numPr>
        <w:spacing w:line="360" w:lineRule="exact"/>
        <w:ind w:left="0" w:firstLine="360"/>
        <w:jc w:val="both"/>
        <w:rPr>
          <w:sz w:val="28"/>
          <w:szCs w:val="28"/>
        </w:rPr>
      </w:pPr>
      <w:r w:rsidRPr="004E1C31">
        <w:rPr>
          <w:sz w:val="28"/>
          <w:szCs w:val="28"/>
        </w:rPr>
        <w:t>Отдельные расходы на обеспечение долевого участия местного бюджета с целью максимального привлечения средств из других бюджетов в рамках государственных федеральных и краевых программ, из них:</w:t>
      </w:r>
    </w:p>
    <w:p w:rsidR="00413A54" w:rsidRDefault="00BB36A3" w:rsidP="00413A54">
      <w:pPr>
        <w:pStyle w:val="a5"/>
        <w:widowControl w:val="0"/>
        <w:numPr>
          <w:ilvl w:val="0"/>
          <w:numId w:val="21"/>
        </w:numPr>
        <w:tabs>
          <w:tab w:val="left" w:pos="426"/>
        </w:tabs>
        <w:spacing w:line="360" w:lineRule="exact"/>
        <w:jc w:val="both"/>
        <w:rPr>
          <w:sz w:val="28"/>
          <w:szCs w:val="28"/>
        </w:rPr>
      </w:pPr>
      <w:r w:rsidRPr="009822B9">
        <w:rPr>
          <w:sz w:val="28"/>
          <w:szCs w:val="28"/>
        </w:rPr>
        <w:t xml:space="preserve">обеспечение мероприятий по переселению граждан из аварийного жилищного фонда – </w:t>
      </w:r>
      <w:r w:rsidRPr="00FD4F90">
        <w:rPr>
          <w:sz w:val="28"/>
          <w:szCs w:val="28"/>
        </w:rPr>
        <w:t>14 265,0</w:t>
      </w:r>
      <w:r>
        <w:rPr>
          <w:sz w:val="28"/>
          <w:szCs w:val="28"/>
        </w:rPr>
        <w:t xml:space="preserve"> тыс. руб.</w:t>
      </w:r>
      <w:r w:rsidRPr="00FD4F90">
        <w:rPr>
          <w:sz w:val="28"/>
          <w:szCs w:val="28"/>
        </w:rPr>
        <w:t>;</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на мероприятия по обеспечению жильем молодых семей – 12 200,0 тыс.</w:t>
      </w:r>
      <w:r w:rsidR="00413A54">
        <w:rPr>
          <w:sz w:val="28"/>
          <w:szCs w:val="28"/>
        </w:rPr>
        <w:t xml:space="preserve"> </w:t>
      </w:r>
      <w:r w:rsidRPr="00413A54">
        <w:rPr>
          <w:sz w:val="28"/>
          <w:szCs w:val="28"/>
        </w:rPr>
        <w:t xml:space="preserve">руб.; </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реализация муниципальной адресной программы Соликамского городского округа "Формирование современной городской среды на 2018-2024 годы" –</w:t>
      </w:r>
      <w:r w:rsidRPr="007F4C19">
        <w:rPr>
          <w:sz w:val="28"/>
          <w:szCs w:val="28"/>
        </w:rPr>
        <w:t>10400,0</w:t>
      </w:r>
      <w:r w:rsidRPr="00413A54">
        <w:rPr>
          <w:sz w:val="28"/>
          <w:szCs w:val="28"/>
        </w:rPr>
        <w:t xml:space="preserve"> тыс. руб.;</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обеспечение мероприятий по благоустройству сельских территорий – 1405,7 тыс.</w:t>
      </w:r>
      <w:r w:rsidR="0023451E" w:rsidRPr="00413A54">
        <w:rPr>
          <w:sz w:val="28"/>
          <w:szCs w:val="28"/>
        </w:rPr>
        <w:t xml:space="preserve"> </w:t>
      </w:r>
      <w:r w:rsidRPr="00413A54">
        <w:rPr>
          <w:sz w:val="28"/>
          <w:szCs w:val="28"/>
        </w:rPr>
        <w:t>руб.</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разработка проектов межевания территории и проведение комплексных кадастровых работ (долевое участие местного бюджета)</w:t>
      </w:r>
      <w:r w:rsidR="00110762" w:rsidRPr="00413A54">
        <w:rPr>
          <w:sz w:val="28"/>
          <w:szCs w:val="28"/>
        </w:rPr>
        <w:t xml:space="preserve"> –</w:t>
      </w:r>
      <w:r w:rsidRPr="00413A54">
        <w:rPr>
          <w:sz w:val="28"/>
          <w:szCs w:val="28"/>
        </w:rPr>
        <w:t xml:space="preserve"> 3 416,3 тыс.</w:t>
      </w:r>
      <w:r w:rsidR="00110762" w:rsidRPr="00413A54">
        <w:rPr>
          <w:sz w:val="28"/>
          <w:szCs w:val="28"/>
        </w:rPr>
        <w:t xml:space="preserve"> </w:t>
      </w:r>
      <w:r w:rsidRPr="00413A54">
        <w:rPr>
          <w:sz w:val="28"/>
          <w:szCs w:val="28"/>
        </w:rPr>
        <w:t>руб.;</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обеспечение санаторно-курортного лечения работников муниципальных учреждений – 272,0 тыс. руб.;</w:t>
      </w:r>
    </w:p>
    <w:p w:rsidR="00413A54" w:rsidRDefault="00413A54" w:rsidP="00413A54">
      <w:pPr>
        <w:pStyle w:val="a5"/>
        <w:widowControl w:val="0"/>
        <w:numPr>
          <w:ilvl w:val="0"/>
          <w:numId w:val="21"/>
        </w:numPr>
        <w:tabs>
          <w:tab w:val="left" w:pos="426"/>
        </w:tabs>
        <w:spacing w:line="360" w:lineRule="exact"/>
        <w:jc w:val="both"/>
        <w:rPr>
          <w:sz w:val="28"/>
          <w:szCs w:val="28"/>
        </w:rPr>
      </w:pPr>
      <w:r>
        <w:rPr>
          <w:sz w:val="28"/>
          <w:szCs w:val="28"/>
        </w:rPr>
        <w:t>м</w:t>
      </w:r>
      <w:r w:rsidR="00BB36A3" w:rsidRPr="00413A54">
        <w:rPr>
          <w:sz w:val="28"/>
          <w:szCs w:val="28"/>
        </w:rPr>
        <w:t>ероприятия по предотвращению распространения и уничтожению борщевика Сосновского – 764,3 тыс.</w:t>
      </w:r>
      <w:r w:rsidR="00110762" w:rsidRPr="00413A54">
        <w:rPr>
          <w:sz w:val="28"/>
          <w:szCs w:val="28"/>
        </w:rPr>
        <w:t xml:space="preserve"> </w:t>
      </w:r>
      <w:r w:rsidR="00BB36A3" w:rsidRPr="00413A54">
        <w:rPr>
          <w:sz w:val="28"/>
          <w:szCs w:val="28"/>
        </w:rPr>
        <w:t>руб.;</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выплата материального стимулирования народным дружинникам за участие в охране общественного порядка – 425,0 тыс. руб.;</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 xml:space="preserve">софинансирование проектов </w:t>
      </w:r>
      <w:proofErr w:type="gramStart"/>
      <w:r w:rsidRPr="00413A54">
        <w:rPr>
          <w:sz w:val="28"/>
          <w:szCs w:val="28"/>
        </w:rPr>
        <w:t>инициативного</w:t>
      </w:r>
      <w:proofErr w:type="gramEnd"/>
      <w:r w:rsidRPr="00413A54">
        <w:rPr>
          <w:sz w:val="28"/>
          <w:szCs w:val="28"/>
        </w:rPr>
        <w:t xml:space="preserve"> бюджетирования – 50,0 тыс. руб.;</w:t>
      </w:r>
    </w:p>
    <w:p w:rsid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реализация Программы по развитию Соликамского городского округа на 2019-2021 годы – 31 602,4 тыс. руб.</w:t>
      </w:r>
      <w:r w:rsidR="00413A54">
        <w:rPr>
          <w:sz w:val="28"/>
          <w:szCs w:val="28"/>
        </w:rPr>
        <w:t xml:space="preserve"> </w:t>
      </w:r>
    </w:p>
    <w:p w:rsidR="00BB36A3" w:rsidRPr="00413A54" w:rsidRDefault="00BB36A3" w:rsidP="00413A54">
      <w:pPr>
        <w:pStyle w:val="a5"/>
        <w:widowControl w:val="0"/>
        <w:numPr>
          <w:ilvl w:val="0"/>
          <w:numId w:val="21"/>
        </w:numPr>
        <w:tabs>
          <w:tab w:val="left" w:pos="426"/>
        </w:tabs>
        <w:spacing w:line="360" w:lineRule="exact"/>
        <w:jc w:val="both"/>
        <w:rPr>
          <w:sz w:val="28"/>
          <w:szCs w:val="28"/>
        </w:rPr>
      </w:pPr>
      <w:r w:rsidRPr="00413A54">
        <w:rPr>
          <w:sz w:val="28"/>
          <w:szCs w:val="28"/>
        </w:rPr>
        <w:t>софинансирование работ по сохранению объектов культурного наследия, находящихся в собственности муниципальных образований – 6 100,0 тыс.</w:t>
      </w:r>
      <w:r w:rsidR="00110762" w:rsidRPr="00413A54">
        <w:rPr>
          <w:sz w:val="28"/>
          <w:szCs w:val="28"/>
        </w:rPr>
        <w:t xml:space="preserve"> </w:t>
      </w:r>
      <w:r w:rsidRPr="00413A54">
        <w:rPr>
          <w:sz w:val="28"/>
          <w:szCs w:val="28"/>
        </w:rPr>
        <w:t xml:space="preserve">руб. </w:t>
      </w:r>
    </w:p>
    <w:p w:rsidR="00BB36A3" w:rsidRPr="00AE1A73" w:rsidRDefault="00BB36A3" w:rsidP="00BB36A3">
      <w:pPr>
        <w:spacing w:line="360" w:lineRule="exact"/>
        <w:ind w:firstLine="709"/>
        <w:jc w:val="center"/>
        <w:rPr>
          <w:b/>
          <w:i/>
          <w:sz w:val="28"/>
          <w:szCs w:val="28"/>
        </w:rPr>
      </w:pPr>
      <w:r w:rsidRPr="00B03372">
        <w:rPr>
          <w:b/>
          <w:i/>
          <w:sz w:val="28"/>
          <w:szCs w:val="28"/>
        </w:rPr>
        <w:lastRenderedPageBreak/>
        <w:t>9. Анализ муниципальных программ</w:t>
      </w:r>
    </w:p>
    <w:p w:rsidR="00BB36A3" w:rsidRPr="00AE1A73" w:rsidRDefault="00BB36A3" w:rsidP="00BB36A3">
      <w:pPr>
        <w:spacing w:line="360" w:lineRule="exact"/>
        <w:ind w:firstLine="709"/>
        <w:jc w:val="both"/>
        <w:rPr>
          <w:sz w:val="28"/>
          <w:szCs w:val="28"/>
        </w:rPr>
      </w:pPr>
      <w:r w:rsidRPr="00AE1A73">
        <w:rPr>
          <w:sz w:val="28"/>
          <w:szCs w:val="28"/>
        </w:rPr>
        <w:t>Проект бюджета Соликамского городского округа на 202</w:t>
      </w:r>
      <w:r>
        <w:rPr>
          <w:sz w:val="28"/>
          <w:szCs w:val="28"/>
        </w:rPr>
        <w:t>1</w:t>
      </w:r>
      <w:r w:rsidRPr="00AE1A73">
        <w:rPr>
          <w:sz w:val="28"/>
          <w:szCs w:val="28"/>
        </w:rPr>
        <w:t>–202</w:t>
      </w:r>
      <w:r>
        <w:rPr>
          <w:sz w:val="28"/>
          <w:szCs w:val="28"/>
        </w:rPr>
        <w:t>3</w:t>
      </w:r>
      <w:r w:rsidRPr="00AE1A73">
        <w:rPr>
          <w:sz w:val="28"/>
          <w:szCs w:val="28"/>
        </w:rPr>
        <w:t xml:space="preserve"> годы сформирован в разрезе муниципальных программ, подпрограмм и по непрограммным направлениям деятельности. Расходы в составе программ ориентированы и увязаны с достижением основных стратегических целей и задач по развитию Соликамского городского округа.</w:t>
      </w:r>
    </w:p>
    <w:p w:rsidR="00BB36A3" w:rsidRPr="00AE1A73" w:rsidRDefault="00BB36A3" w:rsidP="00BB36A3">
      <w:pPr>
        <w:spacing w:line="360" w:lineRule="exact"/>
        <w:ind w:firstLine="709"/>
        <w:jc w:val="both"/>
        <w:rPr>
          <w:sz w:val="28"/>
          <w:szCs w:val="28"/>
        </w:rPr>
      </w:pPr>
      <w:r w:rsidRPr="00AE1A73">
        <w:rPr>
          <w:sz w:val="28"/>
          <w:szCs w:val="28"/>
        </w:rPr>
        <w:t>На момент поступления документов в КСП СГО для подготовки заключения на проект решения о бюджете на 202</w:t>
      </w:r>
      <w:r>
        <w:rPr>
          <w:sz w:val="28"/>
          <w:szCs w:val="28"/>
        </w:rPr>
        <w:t>1-2023</w:t>
      </w:r>
      <w:r w:rsidRPr="00AE1A73">
        <w:rPr>
          <w:sz w:val="28"/>
          <w:szCs w:val="28"/>
        </w:rPr>
        <w:t xml:space="preserve"> г. г. изменения в муниципальные программы внесены и утверждены. </w:t>
      </w:r>
    </w:p>
    <w:p w:rsidR="00BB36A3" w:rsidRPr="00AE1A73" w:rsidRDefault="00BB36A3" w:rsidP="00BB36A3">
      <w:pPr>
        <w:spacing w:line="360" w:lineRule="exact"/>
        <w:ind w:firstLine="709"/>
        <w:jc w:val="both"/>
        <w:rPr>
          <w:sz w:val="28"/>
          <w:szCs w:val="28"/>
        </w:rPr>
      </w:pPr>
      <w:r w:rsidRPr="00AE1A73">
        <w:rPr>
          <w:sz w:val="28"/>
          <w:szCs w:val="28"/>
        </w:rPr>
        <w:t>Внесение изменений в утвержденные параметры программ обусловлено  корректировкой объемов собственных средств бюджета, а так же субвенций на выполнение государственных полномочий Пермского края, изменением (исключением) отдельных расходных обязательств или планированием новых.</w:t>
      </w:r>
    </w:p>
    <w:p w:rsidR="00BB36A3" w:rsidRPr="00AE1A73" w:rsidRDefault="00BB36A3" w:rsidP="00BB36A3">
      <w:pPr>
        <w:spacing w:line="360" w:lineRule="exact"/>
        <w:ind w:firstLine="709"/>
        <w:jc w:val="both"/>
        <w:rPr>
          <w:sz w:val="28"/>
          <w:szCs w:val="28"/>
        </w:rPr>
      </w:pPr>
      <w:r w:rsidRPr="00AE1A73">
        <w:rPr>
          <w:sz w:val="28"/>
          <w:szCs w:val="28"/>
        </w:rPr>
        <w:t>В проекте бюджета на 202</w:t>
      </w:r>
      <w:r>
        <w:rPr>
          <w:sz w:val="28"/>
          <w:szCs w:val="28"/>
        </w:rPr>
        <w:t>1</w:t>
      </w:r>
      <w:r w:rsidRPr="00AE1A73">
        <w:rPr>
          <w:sz w:val="28"/>
          <w:szCs w:val="28"/>
        </w:rPr>
        <w:t>-202</w:t>
      </w:r>
      <w:r>
        <w:rPr>
          <w:sz w:val="28"/>
          <w:szCs w:val="28"/>
        </w:rPr>
        <w:t>3</w:t>
      </w:r>
      <w:r w:rsidRPr="00AE1A73">
        <w:rPr>
          <w:sz w:val="28"/>
          <w:szCs w:val="28"/>
        </w:rPr>
        <w:t xml:space="preserve"> годы учтены бюджетные ассигнования на </w:t>
      </w:r>
      <w:r w:rsidR="00BD5CDD">
        <w:rPr>
          <w:sz w:val="28"/>
          <w:szCs w:val="28"/>
        </w:rPr>
        <w:t>реализацию</w:t>
      </w:r>
      <w:r w:rsidRPr="00AE1A73">
        <w:rPr>
          <w:sz w:val="28"/>
          <w:szCs w:val="28"/>
        </w:rPr>
        <w:t xml:space="preserve"> </w:t>
      </w:r>
      <w:r>
        <w:rPr>
          <w:sz w:val="28"/>
          <w:szCs w:val="28"/>
        </w:rPr>
        <w:t>9</w:t>
      </w:r>
      <w:r w:rsidRPr="00AE1A73">
        <w:rPr>
          <w:sz w:val="28"/>
          <w:szCs w:val="28"/>
        </w:rPr>
        <w:t xml:space="preserve">  муниципальных программ.</w:t>
      </w:r>
    </w:p>
    <w:p w:rsidR="00BB36A3" w:rsidRPr="00AE1A73" w:rsidRDefault="00BB36A3" w:rsidP="00BB36A3">
      <w:pPr>
        <w:spacing w:line="360" w:lineRule="exact"/>
        <w:ind w:firstLine="709"/>
        <w:jc w:val="both"/>
        <w:rPr>
          <w:sz w:val="28"/>
          <w:szCs w:val="28"/>
        </w:rPr>
      </w:pPr>
      <w:r w:rsidRPr="00AE1A73">
        <w:rPr>
          <w:sz w:val="28"/>
          <w:szCs w:val="28"/>
        </w:rPr>
        <w:t>Показатели программ / подпрограмм отражают характер направления средств. «Текущие расходы» на обеспечение муниципальных программ включены в подпрограммы «Обеспечение реализации муниципальной программы».</w:t>
      </w:r>
    </w:p>
    <w:p w:rsidR="00BB36A3" w:rsidRPr="00AE1A73" w:rsidRDefault="00BB36A3" w:rsidP="00BB36A3">
      <w:pPr>
        <w:ind w:firstLine="709"/>
        <w:jc w:val="right"/>
        <w:rPr>
          <w:i/>
          <w:sz w:val="22"/>
          <w:szCs w:val="22"/>
        </w:rPr>
      </w:pPr>
    </w:p>
    <w:p w:rsidR="00BB36A3" w:rsidRDefault="00BB36A3" w:rsidP="00BB36A3">
      <w:pPr>
        <w:ind w:firstLine="709"/>
        <w:jc w:val="center"/>
        <w:rPr>
          <w:sz w:val="28"/>
          <w:szCs w:val="28"/>
        </w:rPr>
      </w:pPr>
      <w:r w:rsidRPr="00AE1A73">
        <w:rPr>
          <w:sz w:val="28"/>
          <w:szCs w:val="28"/>
        </w:rPr>
        <w:t>Анализ финансирования муниципальных программ в 202</w:t>
      </w:r>
      <w:r>
        <w:rPr>
          <w:sz w:val="28"/>
          <w:szCs w:val="28"/>
        </w:rPr>
        <w:t>1</w:t>
      </w:r>
      <w:r w:rsidRPr="00AE1A73">
        <w:rPr>
          <w:sz w:val="28"/>
          <w:szCs w:val="28"/>
        </w:rPr>
        <w:t xml:space="preserve"> г.</w:t>
      </w:r>
    </w:p>
    <w:p w:rsidR="00BB36A3" w:rsidRPr="00011CCD" w:rsidRDefault="00BB36A3" w:rsidP="00BB36A3">
      <w:pPr>
        <w:ind w:firstLine="709"/>
        <w:jc w:val="right"/>
        <w:rPr>
          <w:i/>
          <w:sz w:val="22"/>
          <w:szCs w:val="22"/>
        </w:rPr>
      </w:pPr>
      <w:r w:rsidRPr="00AE1A73">
        <w:rPr>
          <w:i/>
          <w:sz w:val="22"/>
          <w:szCs w:val="22"/>
        </w:rPr>
        <w:t xml:space="preserve">Таблица № </w:t>
      </w:r>
      <w:r>
        <w:rPr>
          <w:i/>
          <w:sz w:val="22"/>
          <w:szCs w:val="22"/>
        </w:rPr>
        <w:t>4</w:t>
      </w:r>
      <w:r w:rsidRPr="00AE1A73">
        <w:rPr>
          <w:i/>
          <w:sz w:val="22"/>
          <w:szCs w:val="22"/>
        </w:rPr>
        <w:t>, тыс. руб.</w:t>
      </w:r>
    </w:p>
    <w:tbl>
      <w:tblPr>
        <w:tblW w:w="10916" w:type="dxa"/>
        <w:tblInd w:w="-318" w:type="dxa"/>
        <w:tblLayout w:type="fixed"/>
        <w:tblLook w:val="04A0" w:firstRow="1" w:lastRow="0" w:firstColumn="1" w:lastColumn="0" w:noHBand="0" w:noVBand="1"/>
      </w:tblPr>
      <w:tblGrid>
        <w:gridCol w:w="2978"/>
        <w:gridCol w:w="1559"/>
        <w:gridCol w:w="1276"/>
        <w:gridCol w:w="1559"/>
        <w:gridCol w:w="1276"/>
        <w:gridCol w:w="1134"/>
        <w:gridCol w:w="1134"/>
      </w:tblGrid>
      <w:tr w:rsidR="00BB36A3" w:rsidRPr="00AE1A73" w:rsidTr="00417A81">
        <w:trPr>
          <w:trHeight w:val="484"/>
        </w:trPr>
        <w:tc>
          <w:tcPr>
            <w:tcW w:w="29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36A3" w:rsidRPr="00AE1A73" w:rsidRDefault="00BB36A3" w:rsidP="006053DE">
            <w:pPr>
              <w:jc w:val="center"/>
              <w:rPr>
                <w:sz w:val="20"/>
                <w:szCs w:val="20"/>
              </w:rPr>
            </w:pPr>
            <w:r w:rsidRPr="00AE1A73">
              <w:rPr>
                <w:sz w:val="20"/>
                <w:szCs w:val="20"/>
              </w:rPr>
              <w:t>Наименование расходов</w:t>
            </w:r>
          </w:p>
        </w:tc>
        <w:tc>
          <w:tcPr>
            <w:tcW w:w="2835" w:type="dxa"/>
            <w:gridSpan w:val="2"/>
            <w:tcBorders>
              <w:top w:val="single" w:sz="4" w:space="0" w:color="auto"/>
              <w:left w:val="nil"/>
              <w:bottom w:val="single" w:sz="4" w:space="0" w:color="auto"/>
              <w:right w:val="single" w:sz="4" w:space="0" w:color="000000"/>
            </w:tcBorders>
            <w:shd w:val="clear" w:color="auto" w:fill="auto"/>
            <w:vAlign w:val="bottom"/>
            <w:hideMark/>
          </w:tcPr>
          <w:p w:rsidR="00BB36A3" w:rsidRPr="00AE1A73" w:rsidRDefault="00BB36A3" w:rsidP="006053DE">
            <w:pPr>
              <w:jc w:val="center"/>
              <w:rPr>
                <w:sz w:val="20"/>
                <w:szCs w:val="20"/>
              </w:rPr>
            </w:pPr>
            <w:r w:rsidRPr="00AE1A73">
              <w:rPr>
                <w:sz w:val="20"/>
                <w:szCs w:val="20"/>
              </w:rPr>
              <w:t>Утверждено в программе</w:t>
            </w:r>
          </w:p>
        </w:tc>
        <w:tc>
          <w:tcPr>
            <w:tcW w:w="2835" w:type="dxa"/>
            <w:gridSpan w:val="2"/>
            <w:tcBorders>
              <w:top w:val="single" w:sz="4" w:space="0" w:color="auto"/>
              <w:left w:val="nil"/>
              <w:bottom w:val="single" w:sz="4" w:space="0" w:color="auto"/>
              <w:right w:val="single" w:sz="4" w:space="0" w:color="000000"/>
            </w:tcBorders>
            <w:shd w:val="clear" w:color="auto" w:fill="auto"/>
            <w:vAlign w:val="bottom"/>
            <w:hideMark/>
          </w:tcPr>
          <w:p w:rsidR="00BB36A3" w:rsidRPr="00AE1A73" w:rsidRDefault="00BB36A3" w:rsidP="006053DE">
            <w:pPr>
              <w:jc w:val="center"/>
              <w:rPr>
                <w:sz w:val="20"/>
                <w:szCs w:val="20"/>
              </w:rPr>
            </w:pPr>
            <w:r w:rsidRPr="00AE1A73">
              <w:rPr>
                <w:sz w:val="20"/>
                <w:szCs w:val="20"/>
              </w:rPr>
              <w:t>Предусмотрено в п</w:t>
            </w:r>
            <w:r>
              <w:rPr>
                <w:sz w:val="20"/>
                <w:szCs w:val="20"/>
              </w:rPr>
              <w:t>роекте решения о бюджете на 2021</w:t>
            </w:r>
            <w:r w:rsidRPr="00AE1A73">
              <w:rPr>
                <w:sz w:val="20"/>
                <w:szCs w:val="20"/>
              </w:rPr>
              <w:t xml:space="preserve"> г.</w:t>
            </w:r>
          </w:p>
        </w:tc>
        <w:tc>
          <w:tcPr>
            <w:tcW w:w="2268" w:type="dxa"/>
            <w:gridSpan w:val="2"/>
            <w:tcBorders>
              <w:top w:val="single" w:sz="4" w:space="0" w:color="auto"/>
              <w:left w:val="nil"/>
              <w:bottom w:val="single" w:sz="4" w:space="0" w:color="auto"/>
              <w:right w:val="single" w:sz="4" w:space="0" w:color="000000"/>
            </w:tcBorders>
            <w:shd w:val="clear" w:color="auto" w:fill="auto"/>
            <w:vAlign w:val="bottom"/>
            <w:hideMark/>
          </w:tcPr>
          <w:p w:rsidR="00BB36A3" w:rsidRPr="00AE1A73" w:rsidRDefault="00BB36A3" w:rsidP="006053DE">
            <w:pPr>
              <w:jc w:val="center"/>
              <w:rPr>
                <w:sz w:val="20"/>
                <w:szCs w:val="20"/>
              </w:rPr>
            </w:pPr>
            <w:r w:rsidRPr="00AE1A73">
              <w:rPr>
                <w:sz w:val="20"/>
                <w:szCs w:val="20"/>
              </w:rPr>
              <w:t>Обеспеченность, %</w:t>
            </w:r>
          </w:p>
        </w:tc>
      </w:tr>
      <w:tr w:rsidR="00BB36A3" w:rsidRPr="00AE1A73" w:rsidTr="00417A81">
        <w:trPr>
          <w:trHeight w:val="1257"/>
        </w:trPr>
        <w:tc>
          <w:tcPr>
            <w:tcW w:w="2978" w:type="dxa"/>
            <w:vMerge/>
            <w:tcBorders>
              <w:top w:val="single" w:sz="4" w:space="0" w:color="auto"/>
              <w:left w:val="single" w:sz="4" w:space="0" w:color="auto"/>
              <w:bottom w:val="single" w:sz="4" w:space="0" w:color="000000"/>
              <w:right w:val="single" w:sz="4" w:space="0" w:color="auto"/>
            </w:tcBorders>
            <w:vAlign w:val="center"/>
            <w:hideMark/>
          </w:tcPr>
          <w:p w:rsidR="00BB36A3" w:rsidRPr="00AE1A73" w:rsidRDefault="00BB36A3" w:rsidP="006053DE">
            <w:pPr>
              <w:rPr>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BB36A3" w:rsidRPr="00AE1A73" w:rsidRDefault="00BB36A3" w:rsidP="006053DE">
            <w:pPr>
              <w:jc w:val="center"/>
              <w:rPr>
                <w:sz w:val="20"/>
                <w:szCs w:val="20"/>
              </w:rPr>
            </w:pPr>
            <w:r w:rsidRPr="00AE1A73">
              <w:rPr>
                <w:sz w:val="20"/>
                <w:szCs w:val="20"/>
              </w:rPr>
              <w:t>Всего (без внебюджетных средств)</w:t>
            </w:r>
          </w:p>
        </w:tc>
        <w:tc>
          <w:tcPr>
            <w:tcW w:w="1276" w:type="dxa"/>
            <w:tcBorders>
              <w:top w:val="nil"/>
              <w:left w:val="nil"/>
              <w:bottom w:val="single" w:sz="4" w:space="0" w:color="auto"/>
              <w:right w:val="single" w:sz="4" w:space="0" w:color="auto"/>
            </w:tcBorders>
            <w:shd w:val="clear" w:color="auto" w:fill="auto"/>
            <w:vAlign w:val="bottom"/>
            <w:hideMark/>
          </w:tcPr>
          <w:p w:rsidR="00BB36A3" w:rsidRPr="00AE1A73" w:rsidRDefault="00BB36A3" w:rsidP="006053DE">
            <w:pPr>
              <w:jc w:val="center"/>
              <w:rPr>
                <w:sz w:val="20"/>
                <w:szCs w:val="20"/>
              </w:rPr>
            </w:pPr>
            <w:r w:rsidRPr="00AE1A73">
              <w:rPr>
                <w:sz w:val="20"/>
                <w:szCs w:val="20"/>
              </w:rPr>
              <w:t xml:space="preserve">в </w:t>
            </w:r>
            <w:proofErr w:type="spellStart"/>
            <w:r w:rsidRPr="00AE1A73">
              <w:rPr>
                <w:sz w:val="20"/>
                <w:szCs w:val="20"/>
              </w:rPr>
              <w:t>т.ч</w:t>
            </w:r>
            <w:proofErr w:type="spellEnd"/>
            <w:r w:rsidRPr="00AE1A73">
              <w:rPr>
                <w:sz w:val="20"/>
                <w:szCs w:val="20"/>
              </w:rPr>
              <w:t>. за счет средств местного бюджета</w:t>
            </w:r>
          </w:p>
        </w:tc>
        <w:tc>
          <w:tcPr>
            <w:tcW w:w="1559" w:type="dxa"/>
            <w:tcBorders>
              <w:top w:val="nil"/>
              <w:left w:val="nil"/>
              <w:bottom w:val="single" w:sz="4" w:space="0" w:color="auto"/>
              <w:right w:val="single" w:sz="4" w:space="0" w:color="auto"/>
            </w:tcBorders>
            <w:shd w:val="clear" w:color="auto" w:fill="auto"/>
            <w:vAlign w:val="center"/>
            <w:hideMark/>
          </w:tcPr>
          <w:p w:rsidR="00BB36A3" w:rsidRPr="00AE1A73" w:rsidRDefault="00BB36A3" w:rsidP="006053DE">
            <w:pPr>
              <w:jc w:val="center"/>
              <w:rPr>
                <w:sz w:val="20"/>
                <w:szCs w:val="20"/>
              </w:rPr>
            </w:pPr>
            <w:r w:rsidRPr="00AE1A73">
              <w:rPr>
                <w:sz w:val="20"/>
                <w:szCs w:val="20"/>
              </w:rPr>
              <w:t>Всего (без внебюджетных средств)</w:t>
            </w:r>
          </w:p>
        </w:tc>
        <w:tc>
          <w:tcPr>
            <w:tcW w:w="1276" w:type="dxa"/>
            <w:tcBorders>
              <w:top w:val="nil"/>
              <w:left w:val="nil"/>
              <w:bottom w:val="single" w:sz="4" w:space="0" w:color="auto"/>
              <w:right w:val="single" w:sz="4" w:space="0" w:color="auto"/>
            </w:tcBorders>
            <w:shd w:val="clear" w:color="auto" w:fill="auto"/>
            <w:vAlign w:val="bottom"/>
            <w:hideMark/>
          </w:tcPr>
          <w:p w:rsidR="00BB36A3" w:rsidRPr="00AE1A73" w:rsidRDefault="00BB36A3" w:rsidP="006053DE">
            <w:pPr>
              <w:jc w:val="center"/>
              <w:rPr>
                <w:sz w:val="20"/>
                <w:szCs w:val="20"/>
              </w:rPr>
            </w:pPr>
            <w:r w:rsidRPr="00AE1A73">
              <w:rPr>
                <w:sz w:val="20"/>
                <w:szCs w:val="20"/>
              </w:rPr>
              <w:t xml:space="preserve">в </w:t>
            </w:r>
            <w:proofErr w:type="spellStart"/>
            <w:r w:rsidRPr="00AE1A73">
              <w:rPr>
                <w:sz w:val="20"/>
                <w:szCs w:val="20"/>
              </w:rPr>
              <w:t>т.ч</w:t>
            </w:r>
            <w:proofErr w:type="spellEnd"/>
            <w:r w:rsidRPr="00AE1A73">
              <w:rPr>
                <w:sz w:val="20"/>
                <w:szCs w:val="20"/>
              </w:rPr>
              <w:t>. за счет средств местного бюджета</w:t>
            </w:r>
          </w:p>
        </w:tc>
        <w:tc>
          <w:tcPr>
            <w:tcW w:w="1134" w:type="dxa"/>
            <w:tcBorders>
              <w:top w:val="nil"/>
              <w:left w:val="nil"/>
              <w:bottom w:val="single" w:sz="4" w:space="0" w:color="auto"/>
              <w:right w:val="single" w:sz="4" w:space="0" w:color="auto"/>
            </w:tcBorders>
            <w:shd w:val="clear" w:color="auto" w:fill="auto"/>
            <w:vAlign w:val="center"/>
            <w:hideMark/>
          </w:tcPr>
          <w:p w:rsidR="00BB36A3" w:rsidRPr="00AE1A73" w:rsidRDefault="00BB36A3" w:rsidP="006053DE">
            <w:pPr>
              <w:jc w:val="center"/>
              <w:rPr>
                <w:sz w:val="20"/>
                <w:szCs w:val="20"/>
              </w:rPr>
            </w:pPr>
            <w:r w:rsidRPr="00AE1A73">
              <w:rPr>
                <w:sz w:val="20"/>
                <w:szCs w:val="20"/>
              </w:rPr>
              <w:t>Всего (без внебюджетных средств)</w:t>
            </w:r>
          </w:p>
        </w:tc>
        <w:tc>
          <w:tcPr>
            <w:tcW w:w="1134" w:type="dxa"/>
            <w:tcBorders>
              <w:top w:val="nil"/>
              <w:left w:val="nil"/>
              <w:bottom w:val="single" w:sz="4" w:space="0" w:color="auto"/>
              <w:right w:val="single" w:sz="4" w:space="0" w:color="auto"/>
            </w:tcBorders>
            <w:shd w:val="clear" w:color="auto" w:fill="auto"/>
            <w:vAlign w:val="bottom"/>
            <w:hideMark/>
          </w:tcPr>
          <w:p w:rsidR="00BB36A3" w:rsidRPr="00AE1A73" w:rsidRDefault="00BB36A3" w:rsidP="006053DE">
            <w:pPr>
              <w:jc w:val="center"/>
              <w:rPr>
                <w:sz w:val="20"/>
                <w:szCs w:val="20"/>
              </w:rPr>
            </w:pPr>
            <w:r w:rsidRPr="00AE1A73">
              <w:rPr>
                <w:sz w:val="20"/>
                <w:szCs w:val="20"/>
              </w:rPr>
              <w:t xml:space="preserve">в </w:t>
            </w:r>
            <w:proofErr w:type="spellStart"/>
            <w:r w:rsidRPr="00AE1A73">
              <w:rPr>
                <w:sz w:val="20"/>
                <w:szCs w:val="20"/>
              </w:rPr>
              <w:t>т.ч</w:t>
            </w:r>
            <w:proofErr w:type="spellEnd"/>
            <w:r w:rsidRPr="00AE1A73">
              <w:rPr>
                <w:sz w:val="20"/>
                <w:szCs w:val="20"/>
              </w:rPr>
              <w:t>. за счет средств местного бюджета</w:t>
            </w:r>
          </w:p>
        </w:tc>
      </w:tr>
      <w:tr w:rsidR="00BB36A3" w:rsidRPr="003349FA" w:rsidTr="006053DE">
        <w:trPr>
          <w:trHeight w:val="7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Муниципальная программа "Развитие системы образования Соликамского городского округа"</w:t>
            </w:r>
          </w:p>
        </w:tc>
        <w:tc>
          <w:tcPr>
            <w:tcW w:w="1559" w:type="dxa"/>
            <w:tcBorders>
              <w:top w:val="nil"/>
              <w:left w:val="nil"/>
              <w:bottom w:val="single" w:sz="4" w:space="0" w:color="auto"/>
              <w:right w:val="single" w:sz="4" w:space="0" w:color="auto"/>
            </w:tcBorders>
            <w:shd w:val="clear" w:color="auto" w:fill="auto"/>
            <w:noWrap/>
            <w:vAlign w:val="bottom"/>
          </w:tcPr>
          <w:p w:rsidR="00BB36A3" w:rsidRPr="0076779C" w:rsidRDefault="00BB36A3" w:rsidP="006053DE">
            <w:pPr>
              <w:jc w:val="right"/>
              <w:rPr>
                <w:sz w:val="22"/>
                <w:szCs w:val="22"/>
              </w:rPr>
            </w:pPr>
            <w:r w:rsidRPr="0076779C">
              <w:rPr>
                <w:sz w:val="22"/>
                <w:szCs w:val="22"/>
              </w:rPr>
              <w:t>2 112 454,2</w:t>
            </w:r>
          </w:p>
        </w:tc>
        <w:tc>
          <w:tcPr>
            <w:tcW w:w="1276" w:type="dxa"/>
            <w:tcBorders>
              <w:top w:val="nil"/>
              <w:left w:val="nil"/>
              <w:bottom w:val="single" w:sz="4" w:space="0" w:color="auto"/>
              <w:right w:val="single" w:sz="4" w:space="0" w:color="auto"/>
            </w:tcBorders>
            <w:shd w:val="clear" w:color="auto" w:fill="auto"/>
            <w:noWrap/>
            <w:vAlign w:val="bottom"/>
          </w:tcPr>
          <w:p w:rsidR="00BB36A3" w:rsidRPr="0076779C" w:rsidRDefault="00BB36A3" w:rsidP="006053DE">
            <w:pPr>
              <w:jc w:val="right"/>
              <w:rPr>
                <w:sz w:val="22"/>
                <w:szCs w:val="22"/>
              </w:rPr>
            </w:pPr>
            <w:r w:rsidRPr="0076779C">
              <w:rPr>
                <w:sz w:val="22"/>
                <w:szCs w:val="22"/>
              </w:rPr>
              <w:t>409 946,0</w:t>
            </w:r>
          </w:p>
        </w:tc>
        <w:tc>
          <w:tcPr>
            <w:tcW w:w="1559" w:type="dxa"/>
            <w:tcBorders>
              <w:top w:val="nil"/>
              <w:left w:val="nil"/>
              <w:bottom w:val="single" w:sz="4" w:space="0" w:color="auto"/>
              <w:right w:val="single" w:sz="4" w:space="0" w:color="auto"/>
            </w:tcBorders>
            <w:shd w:val="clear" w:color="auto" w:fill="auto"/>
            <w:noWrap/>
            <w:vAlign w:val="bottom"/>
          </w:tcPr>
          <w:p w:rsidR="00BB36A3" w:rsidRPr="0076779C" w:rsidRDefault="00BB36A3" w:rsidP="00450190">
            <w:pPr>
              <w:jc w:val="right"/>
              <w:rPr>
                <w:sz w:val="22"/>
                <w:szCs w:val="22"/>
              </w:rPr>
            </w:pPr>
            <w:r w:rsidRPr="0076779C">
              <w:rPr>
                <w:sz w:val="22"/>
                <w:szCs w:val="22"/>
              </w:rPr>
              <w:t>2 116 </w:t>
            </w:r>
            <w:r w:rsidR="00450190">
              <w:rPr>
                <w:sz w:val="22"/>
                <w:szCs w:val="22"/>
              </w:rPr>
              <w:t>6</w:t>
            </w:r>
            <w:r w:rsidRPr="0076779C">
              <w:rPr>
                <w:sz w:val="22"/>
                <w:szCs w:val="22"/>
              </w:rPr>
              <w:t xml:space="preserve">27,0 </w:t>
            </w:r>
          </w:p>
        </w:tc>
        <w:tc>
          <w:tcPr>
            <w:tcW w:w="1276" w:type="dxa"/>
            <w:tcBorders>
              <w:top w:val="nil"/>
              <w:left w:val="nil"/>
              <w:bottom w:val="single" w:sz="4" w:space="0" w:color="auto"/>
              <w:right w:val="single" w:sz="4" w:space="0" w:color="auto"/>
            </w:tcBorders>
            <w:shd w:val="clear" w:color="auto" w:fill="auto"/>
            <w:noWrap/>
            <w:vAlign w:val="bottom"/>
          </w:tcPr>
          <w:p w:rsidR="00BB36A3" w:rsidRPr="0076779C" w:rsidRDefault="00BB36A3" w:rsidP="006053DE">
            <w:pPr>
              <w:jc w:val="right"/>
              <w:rPr>
                <w:sz w:val="22"/>
                <w:szCs w:val="22"/>
              </w:rPr>
            </w:pPr>
            <w:r w:rsidRPr="0076779C">
              <w:rPr>
                <w:sz w:val="22"/>
                <w:szCs w:val="22"/>
              </w:rPr>
              <w:t>409 746,0</w:t>
            </w:r>
          </w:p>
        </w:tc>
        <w:tc>
          <w:tcPr>
            <w:tcW w:w="1134" w:type="dxa"/>
            <w:tcBorders>
              <w:top w:val="nil"/>
              <w:left w:val="nil"/>
              <w:bottom w:val="single" w:sz="4" w:space="0" w:color="auto"/>
              <w:right w:val="single" w:sz="4" w:space="0" w:color="auto"/>
            </w:tcBorders>
            <w:shd w:val="clear" w:color="auto" w:fill="auto"/>
            <w:noWrap/>
            <w:vAlign w:val="bottom"/>
          </w:tcPr>
          <w:p w:rsidR="00BB36A3" w:rsidRPr="0076779C" w:rsidRDefault="00BB36A3" w:rsidP="006053DE">
            <w:pPr>
              <w:jc w:val="right"/>
              <w:rPr>
                <w:sz w:val="22"/>
                <w:szCs w:val="22"/>
              </w:rPr>
            </w:pPr>
            <w:r w:rsidRPr="0076779C">
              <w:rPr>
                <w:sz w:val="22"/>
                <w:szCs w:val="22"/>
              </w:rPr>
              <w:t>100,2</w:t>
            </w:r>
          </w:p>
        </w:tc>
        <w:tc>
          <w:tcPr>
            <w:tcW w:w="1134" w:type="dxa"/>
            <w:tcBorders>
              <w:top w:val="nil"/>
              <w:left w:val="nil"/>
              <w:bottom w:val="single" w:sz="4" w:space="0" w:color="auto"/>
              <w:right w:val="single" w:sz="4" w:space="0" w:color="auto"/>
            </w:tcBorders>
            <w:shd w:val="clear" w:color="auto" w:fill="auto"/>
            <w:noWrap/>
            <w:vAlign w:val="bottom"/>
          </w:tcPr>
          <w:p w:rsidR="00BB36A3" w:rsidRPr="0076779C" w:rsidRDefault="00BB36A3" w:rsidP="006053DE">
            <w:pPr>
              <w:jc w:val="right"/>
              <w:rPr>
                <w:sz w:val="22"/>
                <w:szCs w:val="22"/>
              </w:rPr>
            </w:pPr>
            <w:r w:rsidRPr="0076779C">
              <w:rPr>
                <w:sz w:val="22"/>
                <w:szCs w:val="22"/>
              </w:rPr>
              <w:t>99,9</w:t>
            </w:r>
          </w:p>
        </w:tc>
      </w:tr>
      <w:tr w:rsidR="00BB36A3" w:rsidRPr="00AE1A73" w:rsidTr="006053DE">
        <w:trPr>
          <w:trHeight w:val="7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Муниципальная программа "Развитие сферы культуры, туризма и молодежной политики  Соликамского городского округа"</w:t>
            </w:r>
          </w:p>
        </w:tc>
        <w:tc>
          <w:tcPr>
            <w:tcW w:w="1559"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2</w:t>
            </w:r>
            <w:r>
              <w:rPr>
                <w:sz w:val="22"/>
                <w:szCs w:val="22"/>
              </w:rPr>
              <w:t>19 522,1</w:t>
            </w:r>
          </w:p>
        </w:tc>
        <w:tc>
          <w:tcPr>
            <w:tcW w:w="1276"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183 703,5</w:t>
            </w:r>
          </w:p>
        </w:tc>
        <w:tc>
          <w:tcPr>
            <w:tcW w:w="1559" w:type="dxa"/>
            <w:tcBorders>
              <w:top w:val="nil"/>
              <w:left w:val="nil"/>
              <w:bottom w:val="single" w:sz="4" w:space="0" w:color="auto"/>
              <w:right w:val="single" w:sz="4" w:space="0" w:color="auto"/>
            </w:tcBorders>
            <w:shd w:val="clear" w:color="auto" w:fill="auto"/>
            <w:noWrap/>
            <w:vAlign w:val="bottom"/>
          </w:tcPr>
          <w:p w:rsidR="00BB36A3" w:rsidRPr="00933548" w:rsidRDefault="00BB36A3" w:rsidP="006053DE">
            <w:pPr>
              <w:jc w:val="right"/>
              <w:rPr>
                <w:sz w:val="22"/>
                <w:szCs w:val="22"/>
              </w:rPr>
            </w:pPr>
            <w:r>
              <w:rPr>
                <w:sz w:val="22"/>
                <w:szCs w:val="22"/>
              </w:rPr>
              <w:t>219 522,1</w:t>
            </w:r>
          </w:p>
        </w:tc>
        <w:tc>
          <w:tcPr>
            <w:tcW w:w="1276" w:type="dxa"/>
            <w:tcBorders>
              <w:top w:val="nil"/>
              <w:left w:val="nil"/>
              <w:bottom w:val="single" w:sz="4" w:space="0" w:color="auto"/>
              <w:right w:val="single" w:sz="4" w:space="0" w:color="auto"/>
            </w:tcBorders>
            <w:shd w:val="clear" w:color="auto" w:fill="auto"/>
            <w:noWrap/>
            <w:vAlign w:val="bottom"/>
          </w:tcPr>
          <w:p w:rsidR="00BB36A3" w:rsidRPr="00254F95" w:rsidRDefault="00BB36A3" w:rsidP="006053DE">
            <w:pPr>
              <w:jc w:val="right"/>
              <w:rPr>
                <w:sz w:val="22"/>
                <w:szCs w:val="22"/>
              </w:rPr>
            </w:pPr>
            <w:r w:rsidRPr="00254F95">
              <w:rPr>
                <w:sz w:val="22"/>
                <w:szCs w:val="22"/>
              </w:rPr>
              <w:t>183</w:t>
            </w:r>
            <w:r>
              <w:rPr>
                <w:sz w:val="22"/>
                <w:szCs w:val="22"/>
              </w:rPr>
              <w:t xml:space="preserve"> </w:t>
            </w:r>
            <w:r w:rsidRPr="00254F95">
              <w:rPr>
                <w:sz w:val="22"/>
                <w:szCs w:val="22"/>
              </w:rPr>
              <w:t>703,5</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AE1A73" w:rsidTr="006053DE">
        <w:trPr>
          <w:trHeight w:val="112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Муниципальная программа "Развитие комплексной безопасности</w:t>
            </w:r>
            <w:r>
              <w:rPr>
                <w:sz w:val="20"/>
                <w:szCs w:val="20"/>
              </w:rPr>
              <w:t xml:space="preserve"> на территории СГО</w:t>
            </w:r>
            <w:r w:rsidRPr="00AE1A73">
              <w:rPr>
                <w:sz w:val="20"/>
                <w:szCs w:val="20"/>
              </w:rPr>
              <w:t>, развитие АПК "Безопасный город""</w:t>
            </w:r>
          </w:p>
        </w:tc>
        <w:tc>
          <w:tcPr>
            <w:tcW w:w="1559"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45 745,7</w:t>
            </w:r>
          </w:p>
        </w:tc>
        <w:tc>
          <w:tcPr>
            <w:tcW w:w="1276"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43 353,5</w:t>
            </w:r>
          </w:p>
        </w:tc>
        <w:tc>
          <w:tcPr>
            <w:tcW w:w="1559" w:type="dxa"/>
            <w:tcBorders>
              <w:top w:val="nil"/>
              <w:left w:val="nil"/>
              <w:bottom w:val="single" w:sz="4" w:space="0" w:color="auto"/>
              <w:right w:val="single" w:sz="4" w:space="0" w:color="auto"/>
            </w:tcBorders>
            <w:shd w:val="clear" w:color="auto" w:fill="auto"/>
            <w:noWrap/>
            <w:vAlign w:val="bottom"/>
          </w:tcPr>
          <w:p w:rsidR="00BB36A3" w:rsidRPr="00933548" w:rsidRDefault="00BB36A3" w:rsidP="006053DE">
            <w:pPr>
              <w:jc w:val="right"/>
              <w:rPr>
                <w:sz w:val="22"/>
                <w:szCs w:val="22"/>
              </w:rPr>
            </w:pPr>
            <w:r>
              <w:rPr>
                <w:sz w:val="22"/>
                <w:szCs w:val="22"/>
              </w:rPr>
              <w:t>45 745,7</w:t>
            </w:r>
          </w:p>
        </w:tc>
        <w:tc>
          <w:tcPr>
            <w:tcW w:w="1276" w:type="dxa"/>
            <w:tcBorders>
              <w:top w:val="nil"/>
              <w:left w:val="nil"/>
              <w:bottom w:val="single" w:sz="4" w:space="0" w:color="auto"/>
              <w:right w:val="single" w:sz="4" w:space="0" w:color="auto"/>
            </w:tcBorders>
            <w:shd w:val="clear" w:color="auto" w:fill="auto"/>
            <w:noWrap/>
            <w:vAlign w:val="bottom"/>
          </w:tcPr>
          <w:p w:rsidR="00BB36A3" w:rsidRPr="00254F95" w:rsidRDefault="00BB36A3" w:rsidP="006053DE">
            <w:pPr>
              <w:jc w:val="right"/>
              <w:rPr>
                <w:sz w:val="22"/>
                <w:szCs w:val="22"/>
              </w:rPr>
            </w:pPr>
            <w:r w:rsidRPr="00254F95">
              <w:rPr>
                <w:sz w:val="22"/>
                <w:szCs w:val="22"/>
              </w:rPr>
              <w:t>43 353,5</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AE1A73" w:rsidTr="006053DE">
        <w:trPr>
          <w:trHeight w:val="7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Муниципальная программа "Экономическое развитие Соликамского городского округа"</w:t>
            </w:r>
          </w:p>
        </w:tc>
        <w:tc>
          <w:tcPr>
            <w:tcW w:w="1559"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181F84">
              <w:rPr>
                <w:sz w:val="22"/>
                <w:szCs w:val="22"/>
              </w:rPr>
              <w:t>57 646,5</w:t>
            </w:r>
          </w:p>
        </w:tc>
        <w:tc>
          <w:tcPr>
            <w:tcW w:w="1276"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Pr>
                <w:sz w:val="22"/>
                <w:szCs w:val="22"/>
              </w:rPr>
              <w:t>38 287,6</w:t>
            </w:r>
          </w:p>
        </w:tc>
        <w:tc>
          <w:tcPr>
            <w:tcW w:w="1559" w:type="dxa"/>
            <w:tcBorders>
              <w:top w:val="nil"/>
              <w:left w:val="nil"/>
              <w:bottom w:val="single" w:sz="4" w:space="0" w:color="auto"/>
              <w:right w:val="single" w:sz="4" w:space="0" w:color="auto"/>
            </w:tcBorders>
            <w:shd w:val="clear" w:color="auto" w:fill="auto"/>
            <w:noWrap/>
            <w:vAlign w:val="bottom"/>
          </w:tcPr>
          <w:p w:rsidR="00BB36A3" w:rsidRPr="00933548" w:rsidRDefault="00BB36A3" w:rsidP="006053DE">
            <w:pPr>
              <w:jc w:val="right"/>
              <w:rPr>
                <w:sz w:val="22"/>
                <w:szCs w:val="22"/>
              </w:rPr>
            </w:pPr>
            <w:r>
              <w:rPr>
                <w:sz w:val="22"/>
                <w:szCs w:val="22"/>
              </w:rPr>
              <w:t>57 646,5</w:t>
            </w:r>
          </w:p>
        </w:tc>
        <w:tc>
          <w:tcPr>
            <w:tcW w:w="1276" w:type="dxa"/>
            <w:tcBorders>
              <w:top w:val="nil"/>
              <w:left w:val="nil"/>
              <w:bottom w:val="single" w:sz="4" w:space="0" w:color="auto"/>
              <w:right w:val="single" w:sz="4" w:space="0" w:color="auto"/>
            </w:tcBorders>
            <w:shd w:val="clear" w:color="auto" w:fill="auto"/>
            <w:noWrap/>
            <w:vAlign w:val="bottom"/>
          </w:tcPr>
          <w:p w:rsidR="00BB36A3" w:rsidRPr="00254F95" w:rsidRDefault="00BB36A3" w:rsidP="006053DE">
            <w:pPr>
              <w:jc w:val="right"/>
              <w:rPr>
                <w:sz w:val="22"/>
                <w:szCs w:val="22"/>
              </w:rPr>
            </w:pPr>
            <w:r w:rsidRPr="00254F95">
              <w:rPr>
                <w:sz w:val="22"/>
                <w:szCs w:val="22"/>
              </w:rPr>
              <w:t>38 287,6</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AE1A73" w:rsidTr="006053DE">
        <w:trPr>
          <w:trHeight w:val="25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 xml:space="preserve">Муниципальная программа "Развитие инфраструктуры и комфортной среды Соликамского городского </w:t>
            </w:r>
            <w:r w:rsidRPr="00AE1A73">
              <w:rPr>
                <w:sz w:val="20"/>
                <w:szCs w:val="20"/>
              </w:rPr>
              <w:lastRenderedPageBreak/>
              <w:t>округа"</w:t>
            </w:r>
          </w:p>
        </w:tc>
        <w:tc>
          <w:tcPr>
            <w:tcW w:w="1559"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lastRenderedPageBreak/>
              <w:t>810 210,2</w:t>
            </w:r>
          </w:p>
        </w:tc>
        <w:tc>
          <w:tcPr>
            <w:tcW w:w="1276"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530 161,8</w:t>
            </w:r>
          </w:p>
        </w:tc>
        <w:tc>
          <w:tcPr>
            <w:tcW w:w="1559" w:type="dxa"/>
            <w:tcBorders>
              <w:top w:val="nil"/>
              <w:left w:val="nil"/>
              <w:bottom w:val="single" w:sz="4" w:space="0" w:color="auto"/>
              <w:right w:val="single" w:sz="4" w:space="0" w:color="auto"/>
            </w:tcBorders>
            <w:shd w:val="clear" w:color="auto" w:fill="auto"/>
            <w:noWrap/>
            <w:vAlign w:val="bottom"/>
          </w:tcPr>
          <w:p w:rsidR="00BB36A3" w:rsidRPr="00933548" w:rsidRDefault="00BB36A3" w:rsidP="006053DE">
            <w:pPr>
              <w:jc w:val="right"/>
              <w:rPr>
                <w:sz w:val="22"/>
                <w:szCs w:val="22"/>
              </w:rPr>
            </w:pPr>
            <w:r>
              <w:rPr>
                <w:sz w:val="22"/>
                <w:szCs w:val="22"/>
              </w:rPr>
              <w:t>810 210,3</w:t>
            </w:r>
          </w:p>
        </w:tc>
        <w:tc>
          <w:tcPr>
            <w:tcW w:w="1276" w:type="dxa"/>
            <w:tcBorders>
              <w:top w:val="nil"/>
              <w:left w:val="nil"/>
              <w:bottom w:val="single" w:sz="4" w:space="0" w:color="auto"/>
              <w:right w:val="single" w:sz="4" w:space="0" w:color="auto"/>
            </w:tcBorders>
            <w:shd w:val="clear" w:color="auto" w:fill="auto"/>
            <w:noWrap/>
            <w:vAlign w:val="bottom"/>
          </w:tcPr>
          <w:p w:rsidR="00BB36A3" w:rsidRPr="00254F95" w:rsidRDefault="00BB36A3" w:rsidP="006053DE">
            <w:pPr>
              <w:jc w:val="right"/>
              <w:rPr>
                <w:sz w:val="22"/>
                <w:szCs w:val="22"/>
              </w:rPr>
            </w:pPr>
            <w:r w:rsidRPr="00254F95">
              <w:rPr>
                <w:sz w:val="22"/>
                <w:szCs w:val="22"/>
              </w:rPr>
              <w:t>530 161,8</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AE1A73" w:rsidTr="006053DE">
        <w:trPr>
          <w:trHeight w:val="7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lastRenderedPageBreak/>
              <w:t>Муниципальная программа "Физическая культура и спорт Соликамского городского округа"</w:t>
            </w:r>
          </w:p>
        </w:tc>
        <w:tc>
          <w:tcPr>
            <w:tcW w:w="1559"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112 178,3</w:t>
            </w:r>
          </w:p>
        </w:tc>
        <w:tc>
          <w:tcPr>
            <w:tcW w:w="1276"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75 656,7</w:t>
            </w:r>
          </w:p>
        </w:tc>
        <w:tc>
          <w:tcPr>
            <w:tcW w:w="1559" w:type="dxa"/>
            <w:tcBorders>
              <w:top w:val="nil"/>
              <w:left w:val="nil"/>
              <w:bottom w:val="single" w:sz="4" w:space="0" w:color="auto"/>
              <w:right w:val="single" w:sz="4" w:space="0" w:color="auto"/>
            </w:tcBorders>
            <w:shd w:val="clear" w:color="auto" w:fill="auto"/>
            <w:noWrap/>
            <w:vAlign w:val="bottom"/>
          </w:tcPr>
          <w:p w:rsidR="00BB36A3" w:rsidRPr="00933548" w:rsidRDefault="00BB36A3" w:rsidP="006053DE">
            <w:pPr>
              <w:jc w:val="right"/>
              <w:rPr>
                <w:sz w:val="22"/>
                <w:szCs w:val="22"/>
              </w:rPr>
            </w:pPr>
            <w:r>
              <w:rPr>
                <w:sz w:val="22"/>
                <w:szCs w:val="22"/>
              </w:rPr>
              <w:t>109 243,4</w:t>
            </w:r>
          </w:p>
        </w:tc>
        <w:tc>
          <w:tcPr>
            <w:tcW w:w="1276" w:type="dxa"/>
            <w:tcBorders>
              <w:top w:val="nil"/>
              <w:left w:val="nil"/>
              <w:bottom w:val="single" w:sz="4" w:space="0" w:color="auto"/>
              <w:right w:val="single" w:sz="4" w:space="0" w:color="auto"/>
            </w:tcBorders>
            <w:shd w:val="clear" w:color="auto" w:fill="auto"/>
            <w:noWrap/>
            <w:vAlign w:val="bottom"/>
          </w:tcPr>
          <w:p w:rsidR="00BB36A3" w:rsidRPr="00254F95" w:rsidRDefault="00BB36A3" w:rsidP="006053DE">
            <w:pPr>
              <w:jc w:val="right"/>
              <w:rPr>
                <w:sz w:val="22"/>
                <w:szCs w:val="22"/>
              </w:rPr>
            </w:pPr>
            <w:r w:rsidRPr="00254F95">
              <w:rPr>
                <w:sz w:val="22"/>
                <w:szCs w:val="22"/>
              </w:rPr>
              <w:t>75 656,7</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Pr>
                <w:sz w:val="22"/>
                <w:szCs w:val="22"/>
              </w:rPr>
              <w:t>97,4</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AE1A73" w:rsidTr="006053DE">
        <w:trPr>
          <w:trHeight w:val="7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Муниципальная программа "Развитие общественного самоуправления в Соликамском городском округе"</w:t>
            </w:r>
          </w:p>
        </w:tc>
        <w:tc>
          <w:tcPr>
            <w:tcW w:w="1559" w:type="dxa"/>
            <w:tcBorders>
              <w:top w:val="nil"/>
              <w:left w:val="nil"/>
              <w:bottom w:val="single" w:sz="4" w:space="0" w:color="auto"/>
              <w:right w:val="single" w:sz="4" w:space="0" w:color="auto"/>
            </w:tcBorders>
            <w:shd w:val="clear" w:color="auto" w:fill="auto"/>
            <w:noWrap/>
            <w:vAlign w:val="bottom"/>
          </w:tcPr>
          <w:p w:rsidR="00BB36A3" w:rsidRPr="00181F84" w:rsidRDefault="00BB36A3" w:rsidP="006053DE">
            <w:pPr>
              <w:jc w:val="right"/>
              <w:rPr>
                <w:sz w:val="22"/>
                <w:szCs w:val="22"/>
              </w:rPr>
            </w:pPr>
            <w:r w:rsidRPr="00181F84">
              <w:rPr>
                <w:sz w:val="22"/>
                <w:szCs w:val="22"/>
              </w:rPr>
              <w:t>4 141,6</w:t>
            </w:r>
          </w:p>
        </w:tc>
        <w:tc>
          <w:tcPr>
            <w:tcW w:w="1276"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4 141,6</w:t>
            </w:r>
          </w:p>
        </w:tc>
        <w:tc>
          <w:tcPr>
            <w:tcW w:w="1559" w:type="dxa"/>
            <w:tcBorders>
              <w:top w:val="nil"/>
              <w:left w:val="nil"/>
              <w:bottom w:val="single" w:sz="4" w:space="0" w:color="auto"/>
              <w:right w:val="single" w:sz="4" w:space="0" w:color="auto"/>
            </w:tcBorders>
            <w:shd w:val="clear" w:color="auto" w:fill="auto"/>
            <w:noWrap/>
            <w:vAlign w:val="bottom"/>
          </w:tcPr>
          <w:p w:rsidR="00BB36A3" w:rsidRPr="00B03372" w:rsidRDefault="00BB36A3" w:rsidP="006053DE">
            <w:pPr>
              <w:jc w:val="right"/>
              <w:rPr>
                <w:sz w:val="22"/>
                <w:szCs w:val="22"/>
              </w:rPr>
            </w:pPr>
            <w:r w:rsidRPr="00B03372">
              <w:rPr>
                <w:sz w:val="22"/>
                <w:szCs w:val="22"/>
              </w:rPr>
              <w:t>4 141,6</w:t>
            </w:r>
          </w:p>
        </w:tc>
        <w:tc>
          <w:tcPr>
            <w:tcW w:w="1276" w:type="dxa"/>
            <w:tcBorders>
              <w:top w:val="nil"/>
              <w:left w:val="nil"/>
              <w:bottom w:val="single" w:sz="4" w:space="0" w:color="auto"/>
              <w:right w:val="single" w:sz="4" w:space="0" w:color="auto"/>
            </w:tcBorders>
            <w:shd w:val="clear" w:color="auto" w:fill="auto"/>
            <w:noWrap/>
            <w:vAlign w:val="bottom"/>
          </w:tcPr>
          <w:p w:rsidR="00BB36A3" w:rsidRPr="00254F95" w:rsidRDefault="00BB36A3" w:rsidP="006053DE">
            <w:pPr>
              <w:jc w:val="right"/>
              <w:rPr>
                <w:sz w:val="22"/>
                <w:szCs w:val="22"/>
              </w:rPr>
            </w:pPr>
            <w:r w:rsidRPr="00254F95">
              <w:rPr>
                <w:sz w:val="22"/>
                <w:szCs w:val="22"/>
              </w:rPr>
              <w:t>4 141,6</w:t>
            </w:r>
          </w:p>
        </w:tc>
        <w:tc>
          <w:tcPr>
            <w:tcW w:w="1134" w:type="dxa"/>
            <w:tcBorders>
              <w:top w:val="nil"/>
              <w:left w:val="nil"/>
              <w:bottom w:val="single" w:sz="4" w:space="0" w:color="auto"/>
              <w:right w:val="single" w:sz="4" w:space="0" w:color="auto"/>
            </w:tcBorders>
            <w:shd w:val="clear" w:color="auto" w:fill="auto"/>
            <w:noWrap/>
            <w:vAlign w:val="bottom"/>
          </w:tcPr>
          <w:p w:rsidR="00BB36A3" w:rsidRPr="003349FA" w:rsidRDefault="00BB36A3" w:rsidP="006053DE">
            <w:pPr>
              <w:jc w:val="right"/>
              <w:rPr>
                <w:sz w:val="22"/>
                <w:szCs w:val="22"/>
              </w:rPr>
            </w:pPr>
            <w:r>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AE1A73" w:rsidTr="00571AFD">
        <w:trPr>
          <w:trHeight w:val="7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 xml:space="preserve">Муниципальная программа "Социальная поддержка </w:t>
            </w:r>
            <w:r>
              <w:rPr>
                <w:sz w:val="20"/>
                <w:szCs w:val="20"/>
              </w:rPr>
              <w:t xml:space="preserve">и охрана здоровья </w:t>
            </w:r>
            <w:r w:rsidRPr="00AE1A73">
              <w:rPr>
                <w:sz w:val="20"/>
                <w:szCs w:val="20"/>
              </w:rPr>
              <w:t>граждан в Соликамском городском округе"</w:t>
            </w:r>
          </w:p>
        </w:tc>
        <w:tc>
          <w:tcPr>
            <w:tcW w:w="1559" w:type="dxa"/>
            <w:tcBorders>
              <w:top w:val="nil"/>
              <w:left w:val="nil"/>
              <w:bottom w:val="single" w:sz="4" w:space="0" w:color="auto"/>
              <w:right w:val="single" w:sz="4" w:space="0" w:color="auto"/>
            </w:tcBorders>
            <w:shd w:val="clear" w:color="auto" w:fill="auto"/>
            <w:noWrap/>
            <w:vAlign w:val="bottom"/>
          </w:tcPr>
          <w:p w:rsidR="00BB36A3" w:rsidRPr="00181F84" w:rsidRDefault="00BB36A3" w:rsidP="006053DE">
            <w:pPr>
              <w:jc w:val="right"/>
              <w:rPr>
                <w:sz w:val="22"/>
                <w:szCs w:val="22"/>
              </w:rPr>
            </w:pPr>
            <w:r w:rsidRPr="00181F84">
              <w:rPr>
                <w:sz w:val="22"/>
                <w:szCs w:val="22"/>
              </w:rPr>
              <w:t>165 442,2</w:t>
            </w:r>
          </w:p>
        </w:tc>
        <w:tc>
          <w:tcPr>
            <w:tcW w:w="1276" w:type="dxa"/>
            <w:tcBorders>
              <w:top w:val="nil"/>
              <w:left w:val="nil"/>
              <w:bottom w:val="single" w:sz="4" w:space="0" w:color="auto"/>
              <w:right w:val="single" w:sz="4" w:space="0" w:color="auto"/>
            </w:tcBorders>
            <w:shd w:val="clear" w:color="auto" w:fill="auto"/>
            <w:noWrap/>
            <w:vAlign w:val="bottom"/>
          </w:tcPr>
          <w:p w:rsidR="00BB36A3" w:rsidRPr="009D45AC" w:rsidRDefault="00BB36A3" w:rsidP="006053DE">
            <w:pPr>
              <w:jc w:val="right"/>
              <w:rPr>
                <w:sz w:val="22"/>
                <w:szCs w:val="22"/>
              </w:rPr>
            </w:pPr>
            <w:r w:rsidRPr="009D45AC">
              <w:rPr>
                <w:sz w:val="22"/>
                <w:szCs w:val="22"/>
              </w:rPr>
              <w:t>16 657,1</w:t>
            </w:r>
          </w:p>
        </w:tc>
        <w:tc>
          <w:tcPr>
            <w:tcW w:w="1559" w:type="dxa"/>
            <w:tcBorders>
              <w:top w:val="nil"/>
              <w:left w:val="nil"/>
              <w:bottom w:val="single" w:sz="4" w:space="0" w:color="auto"/>
              <w:right w:val="single" w:sz="4" w:space="0" w:color="auto"/>
            </w:tcBorders>
            <w:shd w:val="clear" w:color="auto" w:fill="auto"/>
            <w:noWrap/>
            <w:vAlign w:val="bottom"/>
          </w:tcPr>
          <w:p w:rsidR="00BB36A3" w:rsidRPr="00B03372" w:rsidRDefault="00BB36A3" w:rsidP="006053DE">
            <w:pPr>
              <w:jc w:val="right"/>
              <w:rPr>
                <w:sz w:val="22"/>
                <w:szCs w:val="22"/>
              </w:rPr>
            </w:pPr>
            <w:r>
              <w:rPr>
                <w:sz w:val="22"/>
                <w:szCs w:val="22"/>
              </w:rPr>
              <w:t>165 442,2</w:t>
            </w:r>
          </w:p>
        </w:tc>
        <w:tc>
          <w:tcPr>
            <w:tcW w:w="1276" w:type="dxa"/>
            <w:tcBorders>
              <w:top w:val="nil"/>
              <w:left w:val="nil"/>
              <w:bottom w:val="single" w:sz="4" w:space="0" w:color="auto"/>
              <w:right w:val="single" w:sz="4" w:space="0" w:color="auto"/>
            </w:tcBorders>
            <w:shd w:val="clear" w:color="auto" w:fill="auto"/>
            <w:noWrap/>
            <w:vAlign w:val="bottom"/>
          </w:tcPr>
          <w:p w:rsidR="00BB36A3" w:rsidRPr="00254F95" w:rsidRDefault="00BB36A3" w:rsidP="006053DE">
            <w:pPr>
              <w:jc w:val="right"/>
              <w:rPr>
                <w:sz w:val="22"/>
                <w:szCs w:val="22"/>
              </w:rPr>
            </w:pPr>
            <w:r w:rsidRPr="00254F95">
              <w:rPr>
                <w:sz w:val="22"/>
                <w:szCs w:val="22"/>
              </w:rPr>
              <w:t>16 657,1</w:t>
            </w:r>
          </w:p>
        </w:tc>
        <w:tc>
          <w:tcPr>
            <w:tcW w:w="1134" w:type="dxa"/>
            <w:tcBorders>
              <w:top w:val="nil"/>
              <w:left w:val="nil"/>
              <w:bottom w:val="single" w:sz="4" w:space="0" w:color="auto"/>
              <w:right w:val="single" w:sz="4" w:space="0" w:color="auto"/>
            </w:tcBorders>
            <w:shd w:val="clear" w:color="auto" w:fill="auto"/>
            <w:noWrap/>
            <w:vAlign w:val="bottom"/>
          </w:tcPr>
          <w:p w:rsidR="00BB36A3" w:rsidRPr="003349FA" w:rsidRDefault="00BB36A3" w:rsidP="006053DE">
            <w:pPr>
              <w:jc w:val="right"/>
              <w:rPr>
                <w:sz w:val="22"/>
                <w:szCs w:val="22"/>
              </w:rPr>
            </w:pPr>
            <w:r>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AE1A73" w:rsidTr="006053DE">
        <w:trPr>
          <w:trHeight w:val="112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BB36A3" w:rsidRPr="00AE1A73" w:rsidRDefault="00BB36A3" w:rsidP="006053DE">
            <w:pPr>
              <w:rPr>
                <w:sz w:val="20"/>
                <w:szCs w:val="20"/>
              </w:rPr>
            </w:pPr>
            <w:r w:rsidRPr="00AE1A73">
              <w:rPr>
                <w:sz w:val="20"/>
                <w:szCs w:val="20"/>
              </w:rPr>
              <w:t>Муниципальная программа "Ресурсное  обеспечение деятельности органов местного самоуправления Соликамского городского округа "</w:t>
            </w:r>
          </w:p>
        </w:tc>
        <w:tc>
          <w:tcPr>
            <w:tcW w:w="1559" w:type="dxa"/>
            <w:tcBorders>
              <w:top w:val="nil"/>
              <w:left w:val="nil"/>
              <w:bottom w:val="single" w:sz="4" w:space="0" w:color="auto"/>
              <w:right w:val="single" w:sz="4" w:space="0" w:color="auto"/>
            </w:tcBorders>
            <w:shd w:val="clear" w:color="auto" w:fill="auto"/>
            <w:noWrap/>
            <w:vAlign w:val="bottom"/>
          </w:tcPr>
          <w:p w:rsidR="00BB36A3" w:rsidRPr="002374C4" w:rsidRDefault="00BB36A3" w:rsidP="006053DE">
            <w:pPr>
              <w:jc w:val="right"/>
              <w:rPr>
                <w:sz w:val="22"/>
                <w:szCs w:val="22"/>
              </w:rPr>
            </w:pPr>
            <w:r w:rsidRPr="002374C4">
              <w:rPr>
                <w:sz w:val="22"/>
                <w:szCs w:val="22"/>
              </w:rPr>
              <w:t>304 729,4</w:t>
            </w:r>
          </w:p>
        </w:tc>
        <w:tc>
          <w:tcPr>
            <w:tcW w:w="1276"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292 305,0</w:t>
            </w:r>
          </w:p>
        </w:tc>
        <w:tc>
          <w:tcPr>
            <w:tcW w:w="1559"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304 729,4</w:t>
            </w:r>
          </w:p>
        </w:tc>
        <w:tc>
          <w:tcPr>
            <w:tcW w:w="1276"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292 305,0</w:t>
            </w:r>
          </w:p>
        </w:tc>
        <w:tc>
          <w:tcPr>
            <w:tcW w:w="1134" w:type="dxa"/>
            <w:tcBorders>
              <w:top w:val="nil"/>
              <w:left w:val="nil"/>
              <w:bottom w:val="single" w:sz="4" w:space="0" w:color="auto"/>
              <w:right w:val="single" w:sz="4" w:space="0" w:color="auto"/>
            </w:tcBorders>
            <w:shd w:val="clear" w:color="auto" w:fill="auto"/>
            <w:noWrap/>
            <w:vAlign w:val="bottom"/>
          </w:tcPr>
          <w:p w:rsidR="00BB36A3" w:rsidRPr="003349FA" w:rsidRDefault="00BB36A3" w:rsidP="006053DE">
            <w:pPr>
              <w:jc w:val="right"/>
              <w:rPr>
                <w:sz w:val="22"/>
                <w:szCs w:val="22"/>
              </w:rPr>
            </w:pPr>
            <w:r w:rsidRPr="003349FA">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BB36A3" w:rsidRPr="0085562D" w:rsidRDefault="00BB36A3" w:rsidP="006053DE">
            <w:pPr>
              <w:jc w:val="right"/>
              <w:rPr>
                <w:sz w:val="22"/>
                <w:szCs w:val="22"/>
              </w:rPr>
            </w:pPr>
            <w:r w:rsidRPr="0085562D">
              <w:rPr>
                <w:sz w:val="22"/>
                <w:szCs w:val="22"/>
              </w:rPr>
              <w:t>100,0</w:t>
            </w:r>
          </w:p>
        </w:tc>
      </w:tr>
      <w:tr w:rsidR="00BB36A3" w:rsidRPr="003349FA" w:rsidTr="006053DE">
        <w:trPr>
          <w:trHeight w:val="575"/>
        </w:trPr>
        <w:tc>
          <w:tcPr>
            <w:tcW w:w="2978" w:type="dxa"/>
            <w:tcBorders>
              <w:top w:val="nil"/>
              <w:left w:val="single" w:sz="4" w:space="0" w:color="auto"/>
              <w:bottom w:val="single" w:sz="4" w:space="0" w:color="auto"/>
              <w:right w:val="single" w:sz="4" w:space="0" w:color="auto"/>
            </w:tcBorders>
            <w:shd w:val="clear" w:color="auto" w:fill="auto"/>
            <w:vAlign w:val="bottom"/>
            <w:hideMark/>
          </w:tcPr>
          <w:p w:rsidR="00BB36A3" w:rsidRPr="00AE1A73" w:rsidRDefault="00BB36A3" w:rsidP="006053DE">
            <w:pPr>
              <w:rPr>
                <w:b/>
                <w:sz w:val="22"/>
                <w:szCs w:val="22"/>
              </w:rPr>
            </w:pPr>
            <w:r w:rsidRPr="00AE1A73">
              <w:rPr>
                <w:b/>
                <w:sz w:val="22"/>
                <w:szCs w:val="22"/>
              </w:rPr>
              <w:t>Всего:</w:t>
            </w:r>
          </w:p>
        </w:tc>
        <w:tc>
          <w:tcPr>
            <w:tcW w:w="1559" w:type="dxa"/>
            <w:tcBorders>
              <w:top w:val="nil"/>
              <w:left w:val="nil"/>
              <w:bottom w:val="single" w:sz="4" w:space="0" w:color="auto"/>
              <w:right w:val="single" w:sz="4" w:space="0" w:color="auto"/>
            </w:tcBorders>
            <w:shd w:val="clear" w:color="auto" w:fill="auto"/>
            <w:noWrap/>
            <w:vAlign w:val="bottom"/>
          </w:tcPr>
          <w:p w:rsidR="00BB36A3" w:rsidRPr="00FA647D" w:rsidRDefault="00BB36A3" w:rsidP="006053DE">
            <w:pPr>
              <w:jc w:val="right"/>
              <w:rPr>
                <w:b/>
                <w:highlight w:val="yellow"/>
              </w:rPr>
            </w:pPr>
            <w:r w:rsidRPr="00181F84">
              <w:rPr>
                <w:b/>
              </w:rPr>
              <w:t>3 832 070,2</w:t>
            </w:r>
          </w:p>
        </w:tc>
        <w:tc>
          <w:tcPr>
            <w:tcW w:w="1276" w:type="dxa"/>
            <w:tcBorders>
              <w:top w:val="nil"/>
              <w:left w:val="nil"/>
              <w:bottom w:val="single" w:sz="4" w:space="0" w:color="auto"/>
              <w:right w:val="single" w:sz="4" w:space="0" w:color="auto"/>
            </w:tcBorders>
            <w:shd w:val="clear" w:color="auto" w:fill="auto"/>
            <w:noWrap/>
            <w:vAlign w:val="bottom"/>
          </w:tcPr>
          <w:p w:rsidR="00BB36A3" w:rsidRPr="002374C4" w:rsidRDefault="00BB36A3" w:rsidP="006053DE">
            <w:pPr>
              <w:ind w:right="-108"/>
              <w:jc w:val="center"/>
              <w:rPr>
                <w:b/>
              </w:rPr>
            </w:pPr>
            <w:r w:rsidRPr="002374C4">
              <w:rPr>
                <w:b/>
              </w:rPr>
              <w:t>1 594 212,8</w:t>
            </w:r>
          </w:p>
        </w:tc>
        <w:tc>
          <w:tcPr>
            <w:tcW w:w="1559" w:type="dxa"/>
            <w:tcBorders>
              <w:top w:val="nil"/>
              <w:left w:val="nil"/>
              <w:bottom w:val="single" w:sz="4" w:space="0" w:color="auto"/>
              <w:right w:val="single" w:sz="4" w:space="0" w:color="auto"/>
            </w:tcBorders>
            <w:shd w:val="clear" w:color="auto" w:fill="auto"/>
            <w:noWrap/>
            <w:vAlign w:val="bottom"/>
          </w:tcPr>
          <w:p w:rsidR="00BB36A3" w:rsidRPr="002374C4" w:rsidRDefault="00BB36A3" w:rsidP="00571AFD">
            <w:pPr>
              <w:jc w:val="right"/>
              <w:rPr>
                <w:b/>
              </w:rPr>
            </w:pPr>
            <w:r w:rsidRPr="002374C4">
              <w:rPr>
                <w:b/>
              </w:rPr>
              <w:t>3 833 </w:t>
            </w:r>
            <w:r w:rsidR="00571AFD">
              <w:rPr>
                <w:b/>
              </w:rPr>
              <w:t>3</w:t>
            </w:r>
            <w:r w:rsidRPr="002374C4">
              <w:rPr>
                <w:b/>
              </w:rPr>
              <w:t>08,2</w:t>
            </w:r>
          </w:p>
        </w:tc>
        <w:tc>
          <w:tcPr>
            <w:tcW w:w="1276" w:type="dxa"/>
            <w:tcBorders>
              <w:top w:val="nil"/>
              <w:left w:val="nil"/>
              <w:bottom w:val="single" w:sz="4" w:space="0" w:color="auto"/>
              <w:right w:val="single" w:sz="4" w:space="0" w:color="auto"/>
            </w:tcBorders>
            <w:shd w:val="clear" w:color="auto" w:fill="auto"/>
            <w:noWrap/>
            <w:vAlign w:val="bottom"/>
          </w:tcPr>
          <w:p w:rsidR="00BB36A3" w:rsidRPr="003349FA" w:rsidRDefault="00BB36A3" w:rsidP="006053DE">
            <w:pPr>
              <w:ind w:right="-108"/>
              <w:jc w:val="right"/>
              <w:rPr>
                <w:b/>
              </w:rPr>
            </w:pPr>
            <w:r w:rsidRPr="003349FA">
              <w:rPr>
                <w:b/>
              </w:rPr>
              <w:t>1 594 012,8</w:t>
            </w:r>
          </w:p>
        </w:tc>
        <w:tc>
          <w:tcPr>
            <w:tcW w:w="1134" w:type="dxa"/>
            <w:tcBorders>
              <w:top w:val="nil"/>
              <w:left w:val="nil"/>
              <w:bottom w:val="single" w:sz="4" w:space="0" w:color="auto"/>
              <w:right w:val="single" w:sz="4" w:space="0" w:color="auto"/>
            </w:tcBorders>
            <w:shd w:val="clear" w:color="auto" w:fill="auto"/>
            <w:noWrap/>
            <w:vAlign w:val="bottom"/>
          </w:tcPr>
          <w:p w:rsidR="00BB36A3" w:rsidRPr="003349FA" w:rsidRDefault="00BB36A3" w:rsidP="006053DE">
            <w:pPr>
              <w:jc w:val="right"/>
              <w:rPr>
                <w:b/>
              </w:rPr>
            </w:pPr>
            <w:r>
              <w:rPr>
                <w:b/>
              </w:rPr>
              <w:t>99,9</w:t>
            </w:r>
          </w:p>
        </w:tc>
        <w:tc>
          <w:tcPr>
            <w:tcW w:w="1134" w:type="dxa"/>
            <w:tcBorders>
              <w:top w:val="nil"/>
              <w:left w:val="nil"/>
              <w:bottom w:val="single" w:sz="4" w:space="0" w:color="auto"/>
              <w:right w:val="single" w:sz="4" w:space="0" w:color="auto"/>
            </w:tcBorders>
            <w:shd w:val="clear" w:color="auto" w:fill="auto"/>
            <w:noWrap/>
            <w:vAlign w:val="bottom"/>
          </w:tcPr>
          <w:p w:rsidR="00BB36A3" w:rsidRPr="003349FA" w:rsidRDefault="00BB36A3" w:rsidP="006053DE">
            <w:pPr>
              <w:jc w:val="right"/>
              <w:rPr>
                <w:b/>
              </w:rPr>
            </w:pPr>
            <w:r w:rsidRPr="003349FA">
              <w:rPr>
                <w:b/>
              </w:rPr>
              <w:t>100,0</w:t>
            </w:r>
          </w:p>
        </w:tc>
      </w:tr>
    </w:tbl>
    <w:p w:rsidR="00BB36A3" w:rsidRPr="00AE1A73" w:rsidRDefault="00BB36A3" w:rsidP="00BB36A3">
      <w:pPr>
        <w:spacing w:line="360" w:lineRule="exact"/>
        <w:ind w:firstLine="709"/>
        <w:jc w:val="both"/>
        <w:rPr>
          <w:sz w:val="28"/>
          <w:szCs w:val="28"/>
        </w:rPr>
      </w:pPr>
    </w:p>
    <w:p w:rsidR="00BB36A3" w:rsidRPr="00AE1A73" w:rsidRDefault="00BB36A3" w:rsidP="00BB36A3">
      <w:pPr>
        <w:spacing w:line="360" w:lineRule="exact"/>
        <w:ind w:firstLine="709"/>
        <w:jc w:val="both"/>
        <w:rPr>
          <w:sz w:val="28"/>
          <w:szCs w:val="28"/>
        </w:rPr>
      </w:pPr>
      <w:r w:rsidRPr="009A393B">
        <w:rPr>
          <w:sz w:val="28"/>
          <w:szCs w:val="28"/>
        </w:rPr>
        <w:t xml:space="preserve">По </w:t>
      </w:r>
      <w:r w:rsidRPr="00AE1A73">
        <w:rPr>
          <w:sz w:val="28"/>
          <w:szCs w:val="28"/>
        </w:rPr>
        <w:t xml:space="preserve">аналогии со структурой расходов текущего года, наибольший удельный вес в объеме расходов на </w:t>
      </w:r>
      <w:r w:rsidR="00BD5CDD">
        <w:rPr>
          <w:sz w:val="28"/>
          <w:szCs w:val="28"/>
        </w:rPr>
        <w:t>реализацию</w:t>
      </w:r>
      <w:r w:rsidRPr="00AE1A73">
        <w:rPr>
          <w:sz w:val="28"/>
          <w:szCs w:val="28"/>
        </w:rPr>
        <w:t xml:space="preserve"> муниципальных программ в 202</w:t>
      </w:r>
      <w:r>
        <w:rPr>
          <w:sz w:val="28"/>
          <w:szCs w:val="28"/>
        </w:rPr>
        <w:t>1</w:t>
      </w:r>
      <w:r w:rsidRPr="00AE1A73">
        <w:rPr>
          <w:sz w:val="28"/>
          <w:szCs w:val="28"/>
        </w:rPr>
        <w:t xml:space="preserve"> г. приходится на программу развития системы образования - 55,2 %. Средства краевого</w:t>
      </w:r>
      <w:r>
        <w:rPr>
          <w:sz w:val="28"/>
          <w:szCs w:val="28"/>
        </w:rPr>
        <w:t xml:space="preserve"> и федерального </w:t>
      </w:r>
      <w:r w:rsidRPr="00AE1A73">
        <w:rPr>
          <w:sz w:val="28"/>
          <w:szCs w:val="28"/>
        </w:rPr>
        <w:t xml:space="preserve">бюджета в МП "Развитие системы образования СГО» составляют </w:t>
      </w:r>
      <w:r>
        <w:rPr>
          <w:sz w:val="28"/>
          <w:szCs w:val="28"/>
        </w:rPr>
        <w:t>80,6</w:t>
      </w:r>
      <w:r w:rsidRPr="00AE1A73">
        <w:rPr>
          <w:sz w:val="28"/>
          <w:szCs w:val="28"/>
        </w:rPr>
        <w:t>%.</w:t>
      </w:r>
    </w:p>
    <w:p w:rsidR="00BB36A3" w:rsidRPr="00AE1A73" w:rsidRDefault="00BB36A3" w:rsidP="00BB36A3">
      <w:pPr>
        <w:spacing w:line="360" w:lineRule="exact"/>
        <w:ind w:firstLine="709"/>
        <w:jc w:val="both"/>
        <w:rPr>
          <w:sz w:val="28"/>
          <w:szCs w:val="28"/>
        </w:rPr>
      </w:pPr>
    </w:p>
    <w:p w:rsidR="00BB36A3" w:rsidRPr="00AE1A73" w:rsidRDefault="00BB36A3" w:rsidP="00BB36A3">
      <w:r w:rsidRPr="00AE1A73">
        <w:rPr>
          <w:noProof/>
        </w:rPr>
        <w:drawing>
          <wp:inline distT="0" distB="0" distL="0" distR="0" wp14:anchorId="34D2AB40" wp14:editId="11008514">
            <wp:extent cx="6496050" cy="3438525"/>
            <wp:effectExtent l="0" t="0" r="19050" b="952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36A3" w:rsidRPr="00AE1A73" w:rsidRDefault="00BB36A3" w:rsidP="00BB36A3"/>
    <w:p w:rsidR="00BB36A3" w:rsidRDefault="00BB36A3" w:rsidP="00BB36A3">
      <w:pPr>
        <w:spacing w:line="360" w:lineRule="exact"/>
        <w:ind w:firstLine="709"/>
        <w:jc w:val="both"/>
        <w:rPr>
          <w:sz w:val="28"/>
          <w:szCs w:val="28"/>
        </w:rPr>
      </w:pPr>
      <w:r w:rsidRPr="00AE1A73">
        <w:rPr>
          <w:sz w:val="28"/>
          <w:szCs w:val="28"/>
        </w:rPr>
        <w:t xml:space="preserve">Бюджетные ассигнования на </w:t>
      </w:r>
      <w:r w:rsidR="005707D0">
        <w:rPr>
          <w:sz w:val="28"/>
          <w:szCs w:val="28"/>
        </w:rPr>
        <w:t>реализацию</w:t>
      </w:r>
      <w:r w:rsidRPr="00AE1A73">
        <w:rPr>
          <w:sz w:val="28"/>
          <w:szCs w:val="28"/>
        </w:rPr>
        <w:t xml:space="preserve"> муниципальных программ за счет средств бюджета Соликамского городского округа обеспечены в </w:t>
      </w:r>
      <w:r>
        <w:rPr>
          <w:sz w:val="28"/>
          <w:szCs w:val="28"/>
        </w:rPr>
        <w:t>целом в</w:t>
      </w:r>
      <w:r w:rsidRPr="00AE1A73">
        <w:rPr>
          <w:sz w:val="28"/>
          <w:szCs w:val="28"/>
        </w:rPr>
        <w:t>100% объеме. При этом</w:t>
      </w:r>
      <w:proofErr w:type="gramStart"/>
      <w:r w:rsidR="00047711">
        <w:rPr>
          <w:sz w:val="28"/>
          <w:szCs w:val="28"/>
        </w:rPr>
        <w:t>,</w:t>
      </w:r>
      <w:proofErr w:type="gramEnd"/>
      <w:r>
        <w:rPr>
          <w:sz w:val="28"/>
          <w:szCs w:val="28"/>
        </w:rPr>
        <w:t xml:space="preserve"> </w:t>
      </w:r>
      <w:r w:rsidRPr="00AE1A73">
        <w:rPr>
          <w:sz w:val="28"/>
          <w:szCs w:val="28"/>
        </w:rPr>
        <w:t>по программе «</w:t>
      </w:r>
      <w:r w:rsidRPr="000C45DB">
        <w:rPr>
          <w:sz w:val="28"/>
          <w:szCs w:val="28"/>
        </w:rPr>
        <w:t xml:space="preserve">Развитие системы образования Соликамского городского </w:t>
      </w:r>
      <w:r w:rsidRPr="000C45DB">
        <w:rPr>
          <w:sz w:val="28"/>
          <w:szCs w:val="28"/>
        </w:rPr>
        <w:lastRenderedPageBreak/>
        <w:t>округа</w:t>
      </w:r>
      <w:r w:rsidRPr="00AE1A73">
        <w:rPr>
          <w:sz w:val="28"/>
          <w:szCs w:val="28"/>
        </w:rPr>
        <w:t>» обеспеченность за счет средств бюджет</w:t>
      </w:r>
      <w:r>
        <w:rPr>
          <w:sz w:val="28"/>
          <w:szCs w:val="28"/>
        </w:rPr>
        <w:t>ов</w:t>
      </w:r>
      <w:r w:rsidRPr="00AE1A73">
        <w:rPr>
          <w:sz w:val="28"/>
          <w:szCs w:val="28"/>
        </w:rPr>
        <w:t xml:space="preserve"> составила 10</w:t>
      </w:r>
      <w:r>
        <w:rPr>
          <w:sz w:val="28"/>
          <w:szCs w:val="28"/>
        </w:rPr>
        <w:t>0,2</w:t>
      </w:r>
      <w:r w:rsidRPr="00AE1A73">
        <w:rPr>
          <w:sz w:val="28"/>
          <w:szCs w:val="28"/>
        </w:rPr>
        <w:t xml:space="preserve">% или на </w:t>
      </w:r>
      <w:r w:rsidR="002B58CC">
        <w:rPr>
          <w:sz w:val="28"/>
          <w:szCs w:val="28"/>
        </w:rPr>
        <w:t>4 172,8</w:t>
      </w:r>
      <w:r w:rsidRPr="00AE1A73">
        <w:rPr>
          <w:sz w:val="28"/>
          <w:szCs w:val="28"/>
        </w:rPr>
        <w:t xml:space="preserve"> тыс.</w:t>
      </w:r>
      <w:r>
        <w:rPr>
          <w:sz w:val="28"/>
          <w:szCs w:val="28"/>
        </w:rPr>
        <w:t xml:space="preserve"> </w:t>
      </w:r>
      <w:r w:rsidRPr="00AE1A73">
        <w:rPr>
          <w:sz w:val="28"/>
          <w:szCs w:val="28"/>
        </w:rPr>
        <w:t xml:space="preserve">руб. больше, чем утверждено в муниципальной программе </w:t>
      </w:r>
      <w:r w:rsidRPr="000F2751">
        <w:rPr>
          <w:sz w:val="28"/>
          <w:szCs w:val="28"/>
        </w:rPr>
        <w:t>(в проекте бюджета на 2021г. предусмотрены средства по мероприятию «Проведение капитального ремонта здания МАОУ «</w:t>
      </w:r>
      <w:proofErr w:type="spellStart"/>
      <w:r w:rsidRPr="000F2751">
        <w:rPr>
          <w:sz w:val="28"/>
          <w:szCs w:val="28"/>
        </w:rPr>
        <w:t>Тохтуевская</w:t>
      </w:r>
      <w:proofErr w:type="spellEnd"/>
      <w:r w:rsidRPr="000F2751">
        <w:rPr>
          <w:sz w:val="28"/>
          <w:szCs w:val="28"/>
        </w:rPr>
        <w:t xml:space="preserve"> </w:t>
      </w:r>
      <w:r w:rsidR="003C42B0">
        <w:rPr>
          <w:sz w:val="28"/>
          <w:szCs w:val="28"/>
        </w:rPr>
        <w:t xml:space="preserve">СОШ», расположенного по адресу: </w:t>
      </w:r>
      <w:r w:rsidRPr="000F2751">
        <w:rPr>
          <w:sz w:val="28"/>
          <w:szCs w:val="28"/>
        </w:rPr>
        <w:t>п. Затон, ул. Советская, 4</w:t>
      </w:r>
      <w:r>
        <w:rPr>
          <w:sz w:val="28"/>
          <w:szCs w:val="28"/>
        </w:rPr>
        <w:t xml:space="preserve"> </w:t>
      </w:r>
      <w:r w:rsidRPr="000F2751">
        <w:rPr>
          <w:sz w:val="28"/>
          <w:szCs w:val="28"/>
        </w:rPr>
        <w:t xml:space="preserve">в целях устройства дошкольных групп с одновременным благоустройством территории и созданием прогулочных участков» при этом в программе данные суммы запланированы на 2022 год. </w:t>
      </w:r>
      <w:r w:rsidRPr="00AE1A73">
        <w:rPr>
          <w:sz w:val="28"/>
          <w:szCs w:val="28"/>
        </w:rPr>
        <w:t xml:space="preserve"> </w:t>
      </w:r>
    </w:p>
    <w:p w:rsidR="00BB36A3" w:rsidRPr="0096317E" w:rsidRDefault="00BB36A3" w:rsidP="00BB36A3">
      <w:pPr>
        <w:spacing w:line="360" w:lineRule="exact"/>
        <w:ind w:firstLine="709"/>
        <w:jc w:val="both"/>
        <w:rPr>
          <w:i/>
          <w:sz w:val="28"/>
          <w:szCs w:val="28"/>
        </w:rPr>
      </w:pPr>
      <w:r w:rsidRPr="0096317E">
        <w:rPr>
          <w:i/>
          <w:sz w:val="28"/>
          <w:szCs w:val="28"/>
        </w:rPr>
        <w:t xml:space="preserve">Необходимо до принятия проекта бюджета внести изменения в муниципальную программу «Развитие системы образования Соликамского городского округа». </w:t>
      </w:r>
    </w:p>
    <w:p w:rsidR="00BB36A3" w:rsidRPr="000F2751" w:rsidRDefault="00BB36A3" w:rsidP="00BB36A3">
      <w:pPr>
        <w:spacing w:line="360" w:lineRule="exact"/>
        <w:ind w:firstLine="709"/>
        <w:jc w:val="both"/>
        <w:rPr>
          <w:sz w:val="28"/>
          <w:szCs w:val="28"/>
        </w:rPr>
      </w:pPr>
      <w:r w:rsidRPr="000F2751">
        <w:rPr>
          <w:sz w:val="28"/>
          <w:szCs w:val="28"/>
        </w:rPr>
        <w:t xml:space="preserve">Обеспеченность финансирования из всех запланированных источников не в полном объеме установлена по </w:t>
      </w:r>
      <w:r>
        <w:rPr>
          <w:sz w:val="28"/>
          <w:szCs w:val="28"/>
        </w:rPr>
        <w:t>одной</w:t>
      </w:r>
      <w:r w:rsidRPr="000F2751">
        <w:rPr>
          <w:sz w:val="28"/>
          <w:szCs w:val="28"/>
        </w:rPr>
        <w:t xml:space="preserve"> муниципальн</w:t>
      </w:r>
      <w:r>
        <w:rPr>
          <w:sz w:val="28"/>
          <w:szCs w:val="28"/>
        </w:rPr>
        <w:t>ой</w:t>
      </w:r>
      <w:r w:rsidRPr="000F2751">
        <w:rPr>
          <w:sz w:val="28"/>
          <w:szCs w:val="28"/>
        </w:rPr>
        <w:t xml:space="preserve"> программ</w:t>
      </w:r>
      <w:r>
        <w:rPr>
          <w:sz w:val="28"/>
          <w:szCs w:val="28"/>
        </w:rPr>
        <w:t>е</w:t>
      </w:r>
      <w:r w:rsidRPr="000F2751">
        <w:rPr>
          <w:sz w:val="28"/>
          <w:szCs w:val="28"/>
        </w:rPr>
        <w:t>:</w:t>
      </w:r>
    </w:p>
    <w:p w:rsidR="0050699D" w:rsidRDefault="00BB36A3" w:rsidP="00C66ABB">
      <w:pPr>
        <w:pStyle w:val="a5"/>
        <w:spacing w:line="360" w:lineRule="exact"/>
        <w:ind w:left="0" w:firstLine="360"/>
        <w:jc w:val="both"/>
        <w:rPr>
          <w:sz w:val="28"/>
          <w:szCs w:val="28"/>
        </w:rPr>
      </w:pPr>
      <w:r w:rsidRPr="006F3A89">
        <w:rPr>
          <w:b/>
          <w:sz w:val="28"/>
          <w:szCs w:val="28"/>
        </w:rPr>
        <w:t>97,4 %</w:t>
      </w:r>
      <w:r w:rsidRPr="006F3A89">
        <w:rPr>
          <w:sz w:val="28"/>
          <w:szCs w:val="28"/>
        </w:rPr>
        <w:t xml:space="preserve"> – по муниципальной программе «Физическая культура и спорт Соликамского городского округа», так как </w:t>
      </w:r>
      <w:r w:rsidR="00F973B2" w:rsidRPr="006F3A89">
        <w:rPr>
          <w:sz w:val="28"/>
          <w:szCs w:val="28"/>
        </w:rPr>
        <w:t>в программе предусмотрены расходы за счет сре</w:t>
      </w:r>
      <w:proofErr w:type="gramStart"/>
      <w:r w:rsidR="00F973B2" w:rsidRPr="006F3A89">
        <w:rPr>
          <w:sz w:val="28"/>
          <w:szCs w:val="28"/>
        </w:rPr>
        <w:t>дств кр</w:t>
      </w:r>
      <w:proofErr w:type="gramEnd"/>
      <w:r w:rsidR="00F973B2" w:rsidRPr="006F3A89">
        <w:rPr>
          <w:sz w:val="28"/>
          <w:szCs w:val="28"/>
        </w:rPr>
        <w:t xml:space="preserve">аевого бюджета в размере </w:t>
      </w:r>
      <w:r w:rsidR="00F973B2">
        <w:rPr>
          <w:sz w:val="28"/>
          <w:szCs w:val="28"/>
        </w:rPr>
        <w:t xml:space="preserve">2 935,0 тыс. руб. </w:t>
      </w:r>
      <w:r w:rsidRPr="006F3A89">
        <w:rPr>
          <w:sz w:val="28"/>
          <w:szCs w:val="28"/>
        </w:rPr>
        <w:t>по мероприятию «</w:t>
      </w:r>
      <w:r w:rsidR="00F973B2" w:rsidRPr="00F973B2">
        <w:rPr>
          <w:sz w:val="28"/>
          <w:szCs w:val="28"/>
        </w:rPr>
        <w:t>Устройство спортивных площадок и оснащение объектов спортивным оборудованием и инвентарем</w:t>
      </w:r>
      <w:r w:rsidRPr="006F3A89">
        <w:rPr>
          <w:sz w:val="28"/>
          <w:szCs w:val="28"/>
        </w:rPr>
        <w:t>»</w:t>
      </w:r>
      <w:r w:rsidR="009B76E8">
        <w:rPr>
          <w:sz w:val="28"/>
          <w:szCs w:val="28"/>
        </w:rPr>
        <w:t>.</w:t>
      </w:r>
      <w:r w:rsidRPr="006F3A89">
        <w:rPr>
          <w:sz w:val="28"/>
          <w:szCs w:val="28"/>
        </w:rPr>
        <w:t xml:space="preserve"> </w:t>
      </w:r>
      <w:r w:rsidRPr="0076779C">
        <w:rPr>
          <w:sz w:val="28"/>
          <w:szCs w:val="28"/>
        </w:rPr>
        <w:t xml:space="preserve">В проекте бюджета Пермского края в первом чтении данные средства не предусмотрены.  </w:t>
      </w:r>
    </w:p>
    <w:p w:rsidR="00BB36A3" w:rsidRPr="0076779C" w:rsidRDefault="00BB36A3" w:rsidP="00BB36A3">
      <w:pPr>
        <w:spacing w:line="360" w:lineRule="exact"/>
        <w:jc w:val="both"/>
        <w:rPr>
          <w:sz w:val="28"/>
          <w:szCs w:val="28"/>
        </w:rPr>
      </w:pPr>
      <w:r w:rsidRPr="0076779C">
        <w:tab/>
      </w:r>
      <w:r w:rsidRPr="0076779C">
        <w:rPr>
          <w:sz w:val="28"/>
          <w:szCs w:val="28"/>
        </w:rPr>
        <w:t xml:space="preserve">Общая сумма бюджетных ассигнований по мероприятиям социальной </w:t>
      </w:r>
      <w:r w:rsidR="001C4E71">
        <w:rPr>
          <w:sz w:val="28"/>
          <w:szCs w:val="28"/>
        </w:rPr>
        <w:t>сферы</w:t>
      </w:r>
      <w:r w:rsidRPr="0076779C">
        <w:rPr>
          <w:sz w:val="28"/>
          <w:szCs w:val="28"/>
        </w:rPr>
        <w:t xml:space="preserve"> </w:t>
      </w:r>
      <w:r w:rsidR="00383A5A">
        <w:rPr>
          <w:sz w:val="28"/>
          <w:szCs w:val="28"/>
        </w:rPr>
        <w:t xml:space="preserve">(образование, культура, социальная политика и физическая культура и спорт) </w:t>
      </w:r>
      <w:r w:rsidRPr="0076779C">
        <w:rPr>
          <w:sz w:val="28"/>
          <w:szCs w:val="28"/>
        </w:rPr>
        <w:t>в проекте бюджета на 202</w:t>
      </w:r>
      <w:r>
        <w:rPr>
          <w:sz w:val="28"/>
          <w:szCs w:val="28"/>
        </w:rPr>
        <w:t>1</w:t>
      </w:r>
      <w:r w:rsidRPr="0076779C">
        <w:rPr>
          <w:sz w:val="28"/>
          <w:szCs w:val="28"/>
        </w:rPr>
        <w:t xml:space="preserve"> г</w:t>
      </w:r>
      <w:r w:rsidRPr="006047CB">
        <w:rPr>
          <w:sz w:val="28"/>
          <w:szCs w:val="28"/>
        </w:rPr>
        <w:t>. составляет 2</w:t>
      </w:r>
      <w:r w:rsidR="00383A5A">
        <w:rPr>
          <w:sz w:val="28"/>
          <w:szCs w:val="28"/>
        </w:rPr>
        <w:t> 656 387,5</w:t>
      </w:r>
      <w:r w:rsidRPr="006047CB">
        <w:rPr>
          <w:sz w:val="28"/>
          <w:szCs w:val="28"/>
        </w:rPr>
        <w:t xml:space="preserve"> тыс. руб. или </w:t>
      </w:r>
      <w:r w:rsidR="00383A5A">
        <w:rPr>
          <w:sz w:val="28"/>
          <w:szCs w:val="28"/>
        </w:rPr>
        <w:t>68,6</w:t>
      </w:r>
      <w:r w:rsidRPr="006047CB">
        <w:rPr>
          <w:sz w:val="28"/>
          <w:szCs w:val="28"/>
        </w:rPr>
        <w:t xml:space="preserve"> % от</w:t>
      </w:r>
      <w:r w:rsidRPr="0076779C">
        <w:rPr>
          <w:sz w:val="28"/>
          <w:szCs w:val="28"/>
        </w:rPr>
        <w:t xml:space="preserve"> общей суммы расходов. Это подтверждает сохранение социальной направленности бюджета СГО. </w:t>
      </w:r>
    </w:p>
    <w:p w:rsidR="00BB36A3" w:rsidRPr="00647A3D" w:rsidRDefault="00BB36A3" w:rsidP="00BB36A3">
      <w:pPr>
        <w:spacing w:line="280" w:lineRule="exact"/>
        <w:jc w:val="center"/>
        <w:rPr>
          <w:b/>
        </w:rPr>
      </w:pPr>
      <w:r w:rsidRPr="00647A3D">
        <w:rPr>
          <w:b/>
        </w:rPr>
        <w:t xml:space="preserve">Динамика изменения ассигнований предусмотренных за счет местного бюджета в проекте бюджета на 2021-2023 г. г. на 2021 г. к ранее утвержденному бюджету на 2020-2022 г. </w:t>
      </w:r>
      <w:proofErr w:type="gramStart"/>
      <w:r w:rsidRPr="00647A3D">
        <w:rPr>
          <w:b/>
        </w:rPr>
        <w:t>г</w:t>
      </w:r>
      <w:proofErr w:type="gramEnd"/>
      <w:r w:rsidRPr="00647A3D">
        <w:rPr>
          <w:b/>
        </w:rPr>
        <w:t xml:space="preserve">. </w:t>
      </w:r>
    </w:p>
    <w:p w:rsidR="00BB36A3" w:rsidRPr="00647A3D" w:rsidRDefault="00BB36A3" w:rsidP="00BB36A3">
      <w:pPr>
        <w:spacing w:line="280" w:lineRule="exact"/>
        <w:jc w:val="center"/>
        <w:rPr>
          <w:b/>
        </w:rPr>
      </w:pPr>
      <w:r w:rsidRPr="00647A3D">
        <w:rPr>
          <w:b/>
        </w:rPr>
        <w:t>(плановый период 2021 г.) по МП</w:t>
      </w:r>
      <w:proofErr w:type="gramStart"/>
      <w:r w:rsidRPr="00647A3D">
        <w:rPr>
          <w:b/>
        </w:rPr>
        <w:t>, (%)</w:t>
      </w:r>
      <w:proofErr w:type="gramEnd"/>
    </w:p>
    <w:p w:rsidR="00BB36A3" w:rsidRPr="00425A5B" w:rsidRDefault="00BB36A3" w:rsidP="00BB36A3">
      <w:pPr>
        <w:rPr>
          <w:highlight w:val="yellow"/>
        </w:rPr>
      </w:pPr>
      <w:r w:rsidRPr="00A5403E">
        <w:rPr>
          <w:noProof/>
          <w:color w:val="92D050"/>
        </w:rPr>
        <w:drawing>
          <wp:inline distT="0" distB="0" distL="0" distR="0" wp14:anchorId="3D9D5D4C" wp14:editId="5910F54A">
            <wp:extent cx="6562725" cy="3429000"/>
            <wp:effectExtent l="0" t="0" r="9525" b="1905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B36A3" w:rsidRPr="006047CB" w:rsidRDefault="00BB36A3" w:rsidP="00BB36A3">
      <w:pPr>
        <w:spacing w:line="360" w:lineRule="exact"/>
        <w:jc w:val="both"/>
      </w:pPr>
      <w:r w:rsidRPr="006047CB">
        <w:lastRenderedPageBreak/>
        <w:tab/>
      </w:r>
    </w:p>
    <w:p w:rsidR="00BB36A3" w:rsidRPr="00EA37A4" w:rsidRDefault="00BB36A3" w:rsidP="00651789">
      <w:pPr>
        <w:spacing w:line="360" w:lineRule="exact"/>
        <w:ind w:firstLine="709"/>
        <w:jc w:val="both"/>
        <w:rPr>
          <w:sz w:val="28"/>
          <w:szCs w:val="28"/>
        </w:rPr>
      </w:pPr>
      <w:r w:rsidRPr="00EA37A4">
        <w:rPr>
          <w:sz w:val="28"/>
          <w:szCs w:val="28"/>
        </w:rPr>
        <w:t xml:space="preserve">В целом на реализацию муниципальных программ в 2021 году представленным проектом предлагается направить </w:t>
      </w:r>
      <w:r w:rsidRPr="00EA37A4">
        <w:rPr>
          <w:b/>
          <w:sz w:val="28"/>
          <w:szCs w:val="28"/>
        </w:rPr>
        <w:t>1 594 012,8</w:t>
      </w:r>
      <w:r w:rsidRPr="00EA37A4">
        <w:rPr>
          <w:sz w:val="28"/>
          <w:szCs w:val="28"/>
        </w:rPr>
        <w:t xml:space="preserve"> тыс. руб. за счет средств местного бюджета. В сравнении с утвержденным бюджетом на 2021 год сумма расходов увеличена </w:t>
      </w:r>
      <w:r w:rsidR="00C30BC2">
        <w:rPr>
          <w:b/>
          <w:sz w:val="28"/>
          <w:szCs w:val="28"/>
        </w:rPr>
        <w:t>241 453,4</w:t>
      </w:r>
      <w:r w:rsidRPr="00EA37A4">
        <w:rPr>
          <w:sz w:val="28"/>
          <w:szCs w:val="28"/>
        </w:rPr>
        <w:t xml:space="preserve"> тыс. рублей, или на </w:t>
      </w:r>
      <w:r w:rsidR="00C30BC2">
        <w:rPr>
          <w:b/>
          <w:sz w:val="28"/>
          <w:szCs w:val="28"/>
        </w:rPr>
        <w:t>17,9</w:t>
      </w:r>
      <w:r w:rsidRPr="00EA37A4">
        <w:rPr>
          <w:b/>
          <w:sz w:val="28"/>
          <w:szCs w:val="28"/>
        </w:rPr>
        <w:t xml:space="preserve"> %</w:t>
      </w:r>
      <w:r w:rsidRPr="00EA37A4">
        <w:rPr>
          <w:sz w:val="28"/>
          <w:szCs w:val="28"/>
        </w:rPr>
        <w:t xml:space="preserve">.    </w:t>
      </w:r>
    </w:p>
    <w:p w:rsidR="00BB36A3" w:rsidRPr="008D08B0" w:rsidRDefault="00BB36A3" w:rsidP="00651789">
      <w:pPr>
        <w:spacing w:line="360" w:lineRule="exact"/>
        <w:ind w:firstLine="709"/>
        <w:jc w:val="both"/>
        <w:rPr>
          <w:sz w:val="28"/>
          <w:szCs w:val="28"/>
          <w:highlight w:val="yellow"/>
        </w:rPr>
      </w:pPr>
    </w:p>
    <w:p w:rsidR="00BB36A3" w:rsidRPr="00B606B6" w:rsidRDefault="00BB36A3" w:rsidP="00651789">
      <w:pPr>
        <w:spacing w:line="360" w:lineRule="exact"/>
        <w:ind w:firstLine="708"/>
        <w:jc w:val="both"/>
        <w:rPr>
          <w:sz w:val="28"/>
          <w:szCs w:val="28"/>
          <w:u w:val="single"/>
        </w:rPr>
      </w:pPr>
      <w:r w:rsidRPr="00AA01F2">
        <w:rPr>
          <w:sz w:val="28"/>
          <w:szCs w:val="28"/>
        </w:rPr>
        <w:t>Наибольшее увеличение бюджетных ассигнований</w:t>
      </w:r>
      <w:r w:rsidR="00674291">
        <w:rPr>
          <w:sz w:val="28"/>
          <w:szCs w:val="28"/>
        </w:rPr>
        <w:t xml:space="preserve"> по</w:t>
      </w:r>
      <w:r w:rsidRPr="00AA01F2">
        <w:rPr>
          <w:sz w:val="28"/>
          <w:szCs w:val="28"/>
        </w:rPr>
        <w:t xml:space="preserve"> </w:t>
      </w:r>
      <w:r w:rsidRPr="00AA01F2">
        <w:rPr>
          <w:i/>
          <w:sz w:val="28"/>
          <w:szCs w:val="28"/>
        </w:rPr>
        <w:t>МП "Развитие инфраструктуры и комфортной среды Соликамского городского округа"</w:t>
      </w:r>
      <w:r w:rsidRPr="00AA01F2">
        <w:rPr>
          <w:sz w:val="28"/>
          <w:szCs w:val="28"/>
        </w:rPr>
        <w:t xml:space="preserve"> на 34,7 % или 136 </w:t>
      </w:r>
      <w:r w:rsidR="00674291">
        <w:rPr>
          <w:sz w:val="28"/>
          <w:szCs w:val="28"/>
        </w:rPr>
        <w:t>5</w:t>
      </w:r>
      <w:r w:rsidRPr="00AA01F2">
        <w:rPr>
          <w:sz w:val="28"/>
          <w:szCs w:val="28"/>
        </w:rPr>
        <w:t>76,5 тыс.</w:t>
      </w:r>
      <w:r w:rsidR="00674291">
        <w:rPr>
          <w:sz w:val="28"/>
          <w:szCs w:val="28"/>
        </w:rPr>
        <w:t xml:space="preserve"> </w:t>
      </w:r>
      <w:r w:rsidRPr="00AA01F2">
        <w:rPr>
          <w:sz w:val="28"/>
          <w:szCs w:val="28"/>
        </w:rPr>
        <w:t xml:space="preserve">руб. связано </w:t>
      </w:r>
      <w:r>
        <w:rPr>
          <w:sz w:val="28"/>
          <w:szCs w:val="28"/>
        </w:rPr>
        <w:t>это с у</w:t>
      </w:r>
      <w:r w:rsidRPr="00B606B6">
        <w:rPr>
          <w:sz w:val="28"/>
          <w:szCs w:val="28"/>
          <w:u w:val="single"/>
        </w:rPr>
        <w:t xml:space="preserve">величением </w:t>
      </w:r>
      <w:r w:rsidR="00DC0F14">
        <w:rPr>
          <w:sz w:val="28"/>
          <w:szCs w:val="28"/>
          <w:u w:val="single"/>
        </w:rPr>
        <w:t>расходов</w:t>
      </w:r>
      <w:r w:rsidRPr="00B606B6">
        <w:rPr>
          <w:sz w:val="28"/>
          <w:szCs w:val="28"/>
          <w:u w:val="single"/>
        </w:rPr>
        <w:t xml:space="preserve"> ассигнования </w:t>
      </w:r>
      <w:proofErr w:type="gramStart"/>
      <w:r w:rsidRPr="00B606B6">
        <w:rPr>
          <w:sz w:val="28"/>
          <w:szCs w:val="28"/>
          <w:u w:val="single"/>
        </w:rPr>
        <w:t>на</w:t>
      </w:r>
      <w:proofErr w:type="gramEnd"/>
      <w:r w:rsidRPr="00B606B6">
        <w:rPr>
          <w:sz w:val="28"/>
          <w:szCs w:val="28"/>
          <w:u w:val="single"/>
        </w:rPr>
        <w:t>:</w:t>
      </w:r>
    </w:p>
    <w:p w:rsidR="00674291" w:rsidRDefault="00BB36A3" w:rsidP="00674291">
      <w:pPr>
        <w:pStyle w:val="a5"/>
        <w:numPr>
          <w:ilvl w:val="0"/>
          <w:numId w:val="22"/>
        </w:numPr>
        <w:spacing w:line="360" w:lineRule="exact"/>
        <w:ind w:left="0" w:firstLine="360"/>
        <w:jc w:val="both"/>
        <w:rPr>
          <w:sz w:val="28"/>
          <w:szCs w:val="28"/>
        </w:rPr>
      </w:pPr>
      <w:r w:rsidRPr="00EF7D3E">
        <w:rPr>
          <w:sz w:val="28"/>
          <w:szCs w:val="28"/>
        </w:rPr>
        <w:t>мероприятия по улучшению санитарного и экологического состояния территории – на 7 911,3 тыс. руб. (161,0%);</w:t>
      </w:r>
    </w:p>
    <w:p w:rsidR="0036189B" w:rsidRDefault="00BB36A3" w:rsidP="0036189B">
      <w:pPr>
        <w:pStyle w:val="a5"/>
        <w:numPr>
          <w:ilvl w:val="0"/>
          <w:numId w:val="22"/>
        </w:numPr>
        <w:spacing w:line="360" w:lineRule="exact"/>
        <w:ind w:left="0" w:firstLine="360"/>
        <w:jc w:val="both"/>
        <w:rPr>
          <w:sz w:val="28"/>
          <w:szCs w:val="28"/>
        </w:rPr>
      </w:pPr>
      <w:r w:rsidRPr="00674291">
        <w:rPr>
          <w:sz w:val="28"/>
          <w:szCs w:val="28"/>
        </w:rPr>
        <w:t xml:space="preserve">содержание автомобильных дорог и элементов благоустройства – на </w:t>
      </w:r>
      <w:r w:rsidR="006C20DD" w:rsidRPr="006C20DD">
        <w:rPr>
          <w:sz w:val="28"/>
          <w:szCs w:val="28"/>
        </w:rPr>
        <w:t>11 244,5</w:t>
      </w:r>
      <w:r w:rsidRPr="00674291">
        <w:rPr>
          <w:sz w:val="28"/>
          <w:szCs w:val="28"/>
        </w:rPr>
        <w:t xml:space="preserve"> тыс. руб. (</w:t>
      </w:r>
      <w:r w:rsidR="006C20DD">
        <w:rPr>
          <w:sz w:val="28"/>
          <w:szCs w:val="28"/>
        </w:rPr>
        <w:t xml:space="preserve">6,6 </w:t>
      </w:r>
      <w:r w:rsidRPr="00674291">
        <w:rPr>
          <w:sz w:val="28"/>
          <w:szCs w:val="28"/>
        </w:rPr>
        <w:t>%). Увеличение средств, направленных на содержание автомобильных дорог связано с пересчетом стоимости содержания (изменения индексов пересчета сметной стоимости). По содержанию городских дорог произошло увеличение объектов благоустройства, а именно увеличение количества (объемов работ, площадей) тротуаров со 170 т</w:t>
      </w:r>
      <w:proofErr w:type="gramStart"/>
      <w:r w:rsidRPr="00674291">
        <w:rPr>
          <w:sz w:val="28"/>
          <w:szCs w:val="28"/>
        </w:rPr>
        <w:t>.м</w:t>
      </w:r>
      <w:proofErr w:type="gramEnd"/>
      <w:r w:rsidRPr="00674291">
        <w:rPr>
          <w:sz w:val="28"/>
          <w:szCs w:val="28"/>
        </w:rPr>
        <w:t>2 до 183 т.м2, увеличение количества лестничных маршей с 93 до 103, увеличение пешеходных переходов с 219 до 245 шт</w:t>
      </w:r>
      <w:r w:rsidR="0036189B">
        <w:rPr>
          <w:sz w:val="28"/>
          <w:szCs w:val="28"/>
        </w:rPr>
        <w:t>.</w:t>
      </w:r>
      <w:r w:rsidRPr="00674291">
        <w:rPr>
          <w:sz w:val="28"/>
          <w:szCs w:val="28"/>
        </w:rPr>
        <w:t xml:space="preserve">, увеличение количества автобусных остановок. Также изменилась протяженность ограждения с 10,3 км до 12,6 км. По содержанию дорог частного сектора и дорог </w:t>
      </w:r>
      <w:proofErr w:type="spellStart"/>
      <w:r w:rsidRPr="00674291">
        <w:rPr>
          <w:sz w:val="28"/>
          <w:szCs w:val="28"/>
        </w:rPr>
        <w:t>внутрипоселковых</w:t>
      </w:r>
      <w:proofErr w:type="spellEnd"/>
      <w:r w:rsidRPr="00674291">
        <w:rPr>
          <w:sz w:val="28"/>
          <w:szCs w:val="28"/>
        </w:rPr>
        <w:t xml:space="preserve"> были добавлены новые дороги - в </w:t>
      </w:r>
      <w:r w:rsidR="0036189B">
        <w:rPr>
          <w:sz w:val="28"/>
          <w:szCs w:val="28"/>
        </w:rPr>
        <w:t xml:space="preserve">на ул. </w:t>
      </w:r>
      <w:proofErr w:type="spellStart"/>
      <w:r w:rsidRPr="00674291">
        <w:rPr>
          <w:sz w:val="28"/>
          <w:szCs w:val="28"/>
        </w:rPr>
        <w:t>Карналлитово</w:t>
      </w:r>
      <w:proofErr w:type="spellEnd"/>
      <w:r w:rsidRPr="00674291">
        <w:rPr>
          <w:sz w:val="28"/>
          <w:szCs w:val="28"/>
        </w:rPr>
        <w:t xml:space="preserve"> к </w:t>
      </w:r>
      <w:proofErr w:type="gramStart"/>
      <w:r w:rsidRPr="00674291">
        <w:rPr>
          <w:sz w:val="28"/>
          <w:szCs w:val="28"/>
        </w:rPr>
        <w:t>участкам</w:t>
      </w:r>
      <w:proofErr w:type="gramEnd"/>
      <w:r w:rsidRPr="00674291">
        <w:rPr>
          <w:sz w:val="28"/>
          <w:szCs w:val="28"/>
        </w:rPr>
        <w:t xml:space="preserve"> выделенным многодетным, в с.</w:t>
      </w:r>
      <w:r w:rsidR="0036189B">
        <w:rPr>
          <w:sz w:val="28"/>
          <w:szCs w:val="28"/>
        </w:rPr>
        <w:t xml:space="preserve"> </w:t>
      </w:r>
      <w:r w:rsidRPr="00674291">
        <w:rPr>
          <w:sz w:val="28"/>
          <w:szCs w:val="28"/>
        </w:rPr>
        <w:t>Городище - ул.</w:t>
      </w:r>
      <w:r w:rsidR="0036189B">
        <w:rPr>
          <w:sz w:val="28"/>
          <w:szCs w:val="28"/>
        </w:rPr>
        <w:t xml:space="preserve"> </w:t>
      </w:r>
      <w:r w:rsidRPr="00674291">
        <w:rPr>
          <w:sz w:val="28"/>
          <w:szCs w:val="28"/>
        </w:rPr>
        <w:t>Полевая и ул.</w:t>
      </w:r>
      <w:r w:rsidR="0036189B">
        <w:rPr>
          <w:sz w:val="28"/>
          <w:szCs w:val="28"/>
        </w:rPr>
        <w:t xml:space="preserve"> </w:t>
      </w:r>
      <w:r w:rsidRPr="00674291">
        <w:rPr>
          <w:sz w:val="28"/>
          <w:szCs w:val="28"/>
        </w:rPr>
        <w:t>Солнечная.</w:t>
      </w:r>
    </w:p>
    <w:p w:rsidR="00967F06" w:rsidRDefault="00BB36A3" w:rsidP="00967F06">
      <w:pPr>
        <w:pStyle w:val="a5"/>
        <w:numPr>
          <w:ilvl w:val="0"/>
          <w:numId w:val="22"/>
        </w:numPr>
        <w:spacing w:line="360" w:lineRule="exact"/>
        <w:ind w:left="0" w:firstLine="360"/>
        <w:jc w:val="both"/>
        <w:rPr>
          <w:sz w:val="28"/>
          <w:szCs w:val="28"/>
        </w:rPr>
      </w:pPr>
      <w:r w:rsidRPr="0036189B">
        <w:rPr>
          <w:sz w:val="28"/>
          <w:szCs w:val="28"/>
        </w:rPr>
        <w:t xml:space="preserve">освещение улиц – </w:t>
      </w:r>
      <w:r w:rsidRPr="00DD6327">
        <w:rPr>
          <w:sz w:val="28"/>
          <w:szCs w:val="28"/>
        </w:rPr>
        <w:t xml:space="preserve">на </w:t>
      </w:r>
      <w:r w:rsidR="00DD6327" w:rsidRPr="00DD6327">
        <w:rPr>
          <w:sz w:val="28"/>
          <w:szCs w:val="28"/>
        </w:rPr>
        <w:t>3 124,6</w:t>
      </w:r>
      <w:r w:rsidRPr="00DD6327">
        <w:rPr>
          <w:sz w:val="28"/>
          <w:szCs w:val="28"/>
        </w:rPr>
        <w:t xml:space="preserve"> тыс. руб.</w:t>
      </w:r>
      <w:r w:rsidRPr="0036189B">
        <w:rPr>
          <w:sz w:val="28"/>
          <w:szCs w:val="28"/>
        </w:rPr>
        <w:t xml:space="preserve"> (</w:t>
      </w:r>
      <w:r w:rsidR="00DD6327">
        <w:rPr>
          <w:sz w:val="28"/>
          <w:szCs w:val="28"/>
        </w:rPr>
        <w:t xml:space="preserve">10,5 </w:t>
      </w:r>
      <w:r w:rsidRPr="0036189B">
        <w:rPr>
          <w:sz w:val="28"/>
          <w:szCs w:val="28"/>
        </w:rPr>
        <w:t>%);</w:t>
      </w:r>
      <w:r w:rsidRPr="00CC0AEE">
        <w:t xml:space="preserve"> </w:t>
      </w:r>
    </w:p>
    <w:p w:rsidR="00967F06" w:rsidRDefault="00BB36A3" w:rsidP="00967F06">
      <w:pPr>
        <w:pStyle w:val="a5"/>
        <w:numPr>
          <w:ilvl w:val="0"/>
          <w:numId w:val="22"/>
        </w:numPr>
        <w:spacing w:line="360" w:lineRule="exact"/>
        <w:ind w:left="0" w:firstLine="360"/>
        <w:jc w:val="both"/>
        <w:rPr>
          <w:sz w:val="28"/>
          <w:szCs w:val="28"/>
        </w:rPr>
      </w:pPr>
      <w:r w:rsidRPr="00967F06">
        <w:rPr>
          <w:sz w:val="28"/>
          <w:szCs w:val="28"/>
        </w:rPr>
        <w:t>более чем в 2 раза увеличился объем средств, выделяемых на содержание детских игровых площадок. Изменение также связано с увеличением количества детских площадок на общественных территориях не только в городе, но и на территории поселений (в рамках программы КРСТ в текущем году было устроено 6 новых детских больших площадок на территории поселений);</w:t>
      </w:r>
    </w:p>
    <w:p w:rsidR="001E4639" w:rsidRDefault="00967F06" w:rsidP="001E4639">
      <w:pPr>
        <w:pStyle w:val="a5"/>
        <w:numPr>
          <w:ilvl w:val="0"/>
          <w:numId w:val="22"/>
        </w:numPr>
        <w:spacing w:line="360" w:lineRule="exact"/>
        <w:ind w:left="0" w:firstLine="360"/>
        <w:jc w:val="both"/>
        <w:rPr>
          <w:sz w:val="28"/>
          <w:szCs w:val="28"/>
        </w:rPr>
      </w:pPr>
      <w:r>
        <w:rPr>
          <w:sz w:val="28"/>
          <w:szCs w:val="28"/>
        </w:rPr>
        <w:t>у</w:t>
      </w:r>
      <w:r w:rsidR="00BB36A3" w:rsidRPr="00967F06">
        <w:rPr>
          <w:sz w:val="28"/>
          <w:szCs w:val="28"/>
        </w:rPr>
        <w:t xml:space="preserve">величился объем средств на содержание парков и скверов, который также связан с увеличением благоустраиваемой площади объектов - сквер </w:t>
      </w:r>
      <w:proofErr w:type="spellStart"/>
      <w:r w:rsidR="00BB36A3" w:rsidRPr="00967F06">
        <w:rPr>
          <w:sz w:val="28"/>
          <w:szCs w:val="28"/>
        </w:rPr>
        <w:t>ул</w:t>
      </w:r>
      <w:proofErr w:type="gramStart"/>
      <w:r w:rsidR="00BB36A3" w:rsidRPr="00967F06">
        <w:rPr>
          <w:sz w:val="28"/>
          <w:szCs w:val="28"/>
        </w:rPr>
        <w:t>.Ч</w:t>
      </w:r>
      <w:proofErr w:type="gramEnd"/>
      <w:r w:rsidR="00BB36A3" w:rsidRPr="00967F06">
        <w:rPr>
          <w:sz w:val="28"/>
          <w:szCs w:val="28"/>
        </w:rPr>
        <w:t>ерняховского</w:t>
      </w:r>
      <w:proofErr w:type="spellEnd"/>
      <w:r w:rsidR="00BB36A3" w:rsidRPr="00967F06">
        <w:rPr>
          <w:sz w:val="28"/>
          <w:szCs w:val="28"/>
        </w:rPr>
        <w:t>, Городской парк, сквер в с.</w:t>
      </w:r>
      <w:r>
        <w:rPr>
          <w:sz w:val="28"/>
          <w:szCs w:val="28"/>
        </w:rPr>
        <w:t xml:space="preserve"> </w:t>
      </w:r>
      <w:proofErr w:type="spellStart"/>
      <w:r w:rsidR="00BB36A3" w:rsidRPr="00967F06">
        <w:rPr>
          <w:sz w:val="28"/>
          <w:szCs w:val="28"/>
        </w:rPr>
        <w:t>Половодово</w:t>
      </w:r>
      <w:proofErr w:type="spellEnd"/>
      <w:r w:rsidR="00BB36A3" w:rsidRPr="00967F06">
        <w:rPr>
          <w:sz w:val="28"/>
          <w:szCs w:val="28"/>
        </w:rPr>
        <w:t>, сквер Победителей в с.</w:t>
      </w:r>
      <w:r>
        <w:rPr>
          <w:sz w:val="28"/>
          <w:szCs w:val="28"/>
        </w:rPr>
        <w:t xml:space="preserve"> </w:t>
      </w:r>
      <w:r w:rsidR="00BB36A3" w:rsidRPr="00967F06">
        <w:rPr>
          <w:sz w:val="28"/>
          <w:szCs w:val="28"/>
        </w:rPr>
        <w:t xml:space="preserve">Городище. </w:t>
      </w:r>
      <w:r>
        <w:rPr>
          <w:sz w:val="28"/>
          <w:szCs w:val="28"/>
        </w:rPr>
        <w:t>Кроме того</w:t>
      </w:r>
      <w:r w:rsidR="001E4639">
        <w:rPr>
          <w:sz w:val="28"/>
          <w:szCs w:val="28"/>
        </w:rPr>
        <w:t xml:space="preserve"> в 2020 году </w:t>
      </w:r>
      <w:r>
        <w:rPr>
          <w:sz w:val="28"/>
          <w:szCs w:val="28"/>
        </w:rPr>
        <w:t>в МБУ «Управление благоустройства СГО»</w:t>
      </w:r>
      <w:r w:rsidR="00BB36A3" w:rsidRPr="00967F06">
        <w:rPr>
          <w:sz w:val="28"/>
          <w:szCs w:val="28"/>
        </w:rPr>
        <w:t xml:space="preserve"> были переданы на содержание мемориальный комплекс и площадь </w:t>
      </w:r>
      <w:r w:rsidR="001E4639">
        <w:rPr>
          <w:sz w:val="28"/>
          <w:szCs w:val="28"/>
        </w:rPr>
        <w:t xml:space="preserve">Н.А. </w:t>
      </w:r>
      <w:proofErr w:type="spellStart"/>
      <w:r w:rsidR="00BB36A3" w:rsidRPr="00967F06">
        <w:rPr>
          <w:sz w:val="28"/>
          <w:szCs w:val="28"/>
        </w:rPr>
        <w:t>Ладкина</w:t>
      </w:r>
      <w:proofErr w:type="spellEnd"/>
      <w:r w:rsidR="00BB36A3" w:rsidRPr="00967F06">
        <w:rPr>
          <w:sz w:val="28"/>
          <w:szCs w:val="28"/>
        </w:rPr>
        <w:t>.</w:t>
      </w:r>
    </w:p>
    <w:p w:rsidR="00892F02" w:rsidRDefault="00BB36A3" w:rsidP="00892F02">
      <w:pPr>
        <w:pStyle w:val="a5"/>
        <w:numPr>
          <w:ilvl w:val="0"/>
          <w:numId w:val="22"/>
        </w:numPr>
        <w:spacing w:line="360" w:lineRule="exact"/>
        <w:ind w:left="0" w:firstLine="360"/>
        <w:jc w:val="both"/>
        <w:rPr>
          <w:sz w:val="28"/>
          <w:szCs w:val="28"/>
        </w:rPr>
      </w:pPr>
      <w:r w:rsidRPr="001E4639">
        <w:rPr>
          <w:sz w:val="28"/>
          <w:szCs w:val="28"/>
        </w:rPr>
        <w:t>увеличено финансирование мероприятия по отводу дождевых и талых вод на 1,0 млн.</w:t>
      </w:r>
      <w:r w:rsidR="00892F02">
        <w:rPr>
          <w:sz w:val="28"/>
          <w:szCs w:val="28"/>
        </w:rPr>
        <w:t xml:space="preserve"> </w:t>
      </w:r>
      <w:r w:rsidRPr="001E4639">
        <w:rPr>
          <w:sz w:val="28"/>
          <w:szCs w:val="28"/>
        </w:rPr>
        <w:t>руб. Необходимо сформировать и</w:t>
      </w:r>
      <w:r w:rsidR="00892F02">
        <w:rPr>
          <w:sz w:val="28"/>
          <w:szCs w:val="28"/>
        </w:rPr>
        <w:t xml:space="preserve"> укрепить водоотводные канавы на </w:t>
      </w:r>
      <w:proofErr w:type="spellStart"/>
      <w:r w:rsidR="00892F02">
        <w:rPr>
          <w:sz w:val="28"/>
          <w:szCs w:val="28"/>
        </w:rPr>
        <w:t>ул</w:t>
      </w:r>
      <w:proofErr w:type="gramStart"/>
      <w:r w:rsidR="00892F02">
        <w:rPr>
          <w:sz w:val="28"/>
          <w:szCs w:val="28"/>
        </w:rPr>
        <w:t>.</w:t>
      </w:r>
      <w:r w:rsidRPr="001E4639">
        <w:rPr>
          <w:sz w:val="28"/>
          <w:szCs w:val="28"/>
        </w:rPr>
        <w:t>К</w:t>
      </w:r>
      <w:proofErr w:type="gramEnd"/>
      <w:r w:rsidRPr="001E4639">
        <w:rPr>
          <w:sz w:val="28"/>
          <w:szCs w:val="28"/>
        </w:rPr>
        <w:t>арналлитово</w:t>
      </w:r>
      <w:proofErr w:type="spellEnd"/>
      <w:r w:rsidRPr="001E4639">
        <w:rPr>
          <w:sz w:val="28"/>
          <w:szCs w:val="28"/>
        </w:rPr>
        <w:t xml:space="preserve">, </w:t>
      </w:r>
      <w:proofErr w:type="spellStart"/>
      <w:r w:rsidRPr="001E4639">
        <w:rPr>
          <w:sz w:val="28"/>
          <w:szCs w:val="28"/>
        </w:rPr>
        <w:t>ул.Железнодорожная</w:t>
      </w:r>
      <w:proofErr w:type="spellEnd"/>
      <w:r w:rsidRPr="001E4639">
        <w:rPr>
          <w:sz w:val="28"/>
          <w:szCs w:val="28"/>
        </w:rPr>
        <w:t xml:space="preserve"> в районе пересечения с </w:t>
      </w:r>
      <w:proofErr w:type="spellStart"/>
      <w:r w:rsidRPr="001E4639">
        <w:rPr>
          <w:sz w:val="28"/>
          <w:szCs w:val="28"/>
        </w:rPr>
        <w:t>ул.О.Кошевого</w:t>
      </w:r>
      <w:proofErr w:type="spellEnd"/>
      <w:r w:rsidRPr="001E4639">
        <w:rPr>
          <w:sz w:val="28"/>
          <w:szCs w:val="28"/>
        </w:rPr>
        <w:t xml:space="preserve">, </w:t>
      </w:r>
      <w:proofErr w:type="spellStart"/>
      <w:r w:rsidRPr="001E4639">
        <w:rPr>
          <w:sz w:val="28"/>
          <w:szCs w:val="28"/>
        </w:rPr>
        <w:t>с.Половодово</w:t>
      </w:r>
      <w:proofErr w:type="spellEnd"/>
      <w:r w:rsidRPr="001E4639">
        <w:rPr>
          <w:sz w:val="28"/>
          <w:szCs w:val="28"/>
        </w:rPr>
        <w:t>;</w:t>
      </w:r>
    </w:p>
    <w:p w:rsidR="00BA1B1E" w:rsidRDefault="00BB36A3" w:rsidP="00BA1B1E">
      <w:pPr>
        <w:pStyle w:val="a5"/>
        <w:numPr>
          <w:ilvl w:val="0"/>
          <w:numId w:val="22"/>
        </w:numPr>
        <w:spacing w:line="360" w:lineRule="exact"/>
        <w:ind w:left="0" w:firstLine="360"/>
        <w:jc w:val="both"/>
        <w:rPr>
          <w:sz w:val="28"/>
          <w:szCs w:val="28"/>
        </w:rPr>
      </w:pPr>
      <w:r w:rsidRPr="00892F02">
        <w:rPr>
          <w:sz w:val="28"/>
          <w:szCs w:val="28"/>
        </w:rPr>
        <w:lastRenderedPageBreak/>
        <w:t xml:space="preserve">выделены денежные средства местного бюджета в размере </w:t>
      </w:r>
      <w:r w:rsidR="00701141" w:rsidRPr="00701141">
        <w:rPr>
          <w:sz w:val="28"/>
          <w:szCs w:val="28"/>
        </w:rPr>
        <w:t>15,2</w:t>
      </w:r>
      <w:r w:rsidRPr="00892F02">
        <w:rPr>
          <w:sz w:val="28"/>
          <w:szCs w:val="28"/>
        </w:rPr>
        <w:t xml:space="preserve"> млн. руб. на </w:t>
      </w:r>
      <w:proofErr w:type="spellStart"/>
      <w:r w:rsidRPr="00892F02">
        <w:rPr>
          <w:sz w:val="28"/>
          <w:szCs w:val="28"/>
        </w:rPr>
        <w:t>софинансируемые</w:t>
      </w:r>
      <w:proofErr w:type="spellEnd"/>
      <w:r w:rsidRPr="00892F02">
        <w:rPr>
          <w:sz w:val="28"/>
          <w:szCs w:val="28"/>
        </w:rPr>
        <w:t xml:space="preserve"> мероприятия программы комплексного развития сельских территорий; </w:t>
      </w:r>
    </w:p>
    <w:p w:rsidR="00BA1B1E" w:rsidRDefault="00BB36A3" w:rsidP="00BA1B1E">
      <w:pPr>
        <w:pStyle w:val="a5"/>
        <w:numPr>
          <w:ilvl w:val="0"/>
          <w:numId w:val="22"/>
        </w:numPr>
        <w:spacing w:line="360" w:lineRule="exact"/>
        <w:ind w:left="0" w:firstLine="360"/>
        <w:jc w:val="both"/>
        <w:rPr>
          <w:sz w:val="28"/>
          <w:szCs w:val="28"/>
        </w:rPr>
      </w:pPr>
      <w:r w:rsidRPr="00BA1B1E">
        <w:rPr>
          <w:sz w:val="28"/>
          <w:szCs w:val="28"/>
        </w:rPr>
        <w:t>капитальный ремонт, ремонт автомобильных дорог и искусственных сооружений на них (включая долевое участие местного бюджета) – на 8 948,2 тыс. руб. (68,8%);</w:t>
      </w:r>
    </w:p>
    <w:p w:rsidR="00D15DEE" w:rsidRDefault="00BA1B1E" w:rsidP="00D15DEE">
      <w:pPr>
        <w:pStyle w:val="a5"/>
        <w:numPr>
          <w:ilvl w:val="0"/>
          <w:numId w:val="22"/>
        </w:numPr>
        <w:spacing w:line="360" w:lineRule="exact"/>
        <w:ind w:left="0" w:firstLine="360"/>
        <w:jc w:val="both"/>
        <w:rPr>
          <w:sz w:val="28"/>
          <w:szCs w:val="28"/>
        </w:rPr>
      </w:pPr>
      <w:r>
        <w:rPr>
          <w:sz w:val="28"/>
          <w:szCs w:val="28"/>
        </w:rPr>
        <w:t>р</w:t>
      </w:r>
      <w:r w:rsidR="00BB36A3" w:rsidRPr="00BA1B1E">
        <w:rPr>
          <w:sz w:val="28"/>
          <w:szCs w:val="28"/>
        </w:rPr>
        <w:t>еализация муниципальной адресной программы СГО "Формирование современной городской среды на 2018-2024гг."</w:t>
      </w:r>
      <w:r w:rsidR="00D15DEE">
        <w:rPr>
          <w:sz w:val="28"/>
          <w:szCs w:val="28"/>
        </w:rPr>
        <w:t xml:space="preserve"> </w:t>
      </w:r>
      <w:r w:rsidR="00BB36A3" w:rsidRPr="00BA1B1E">
        <w:rPr>
          <w:sz w:val="28"/>
          <w:szCs w:val="28"/>
        </w:rPr>
        <w:t xml:space="preserve">(ремонт дворовых территорий)  на </w:t>
      </w:r>
      <w:r w:rsidR="00BB36A3" w:rsidRPr="002646DE">
        <w:rPr>
          <w:sz w:val="28"/>
          <w:szCs w:val="28"/>
        </w:rPr>
        <w:t>2840,1</w:t>
      </w:r>
      <w:r w:rsidR="00BB36A3" w:rsidRPr="00BA1B1E">
        <w:rPr>
          <w:sz w:val="28"/>
          <w:szCs w:val="28"/>
        </w:rPr>
        <w:t xml:space="preserve"> или 61,6%; </w:t>
      </w:r>
    </w:p>
    <w:p w:rsidR="00BB36A3" w:rsidRPr="00D15DEE" w:rsidRDefault="00D15DEE" w:rsidP="00D15DEE">
      <w:pPr>
        <w:pStyle w:val="a5"/>
        <w:numPr>
          <w:ilvl w:val="0"/>
          <w:numId w:val="22"/>
        </w:numPr>
        <w:spacing w:line="360" w:lineRule="exact"/>
        <w:ind w:left="0" w:firstLine="360"/>
        <w:jc w:val="both"/>
        <w:rPr>
          <w:sz w:val="28"/>
          <w:szCs w:val="28"/>
        </w:rPr>
      </w:pPr>
      <w:r>
        <w:rPr>
          <w:sz w:val="28"/>
          <w:szCs w:val="28"/>
        </w:rPr>
        <w:t>б</w:t>
      </w:r>
      <w:r w:rsidR="00BB36A3" w:rsidRPr="00D15DEE">
        <w:rPr>
          <w:sz w:val="28"/>
          <w:szCs w:val="28"/>
        </w:rPr>
        <w:t xml:space="preserve">лагоустройство дворовых территорий (установка детских площадок) на </w:t>
      </w:r>
      <w:r w:rsidR="00BB36A3" w:rsidRPr="002646DE">
        <w:rPr>
          <w:sz w:val="28"/>
          <w:szCs w:val="28"/>
        </w:rPr>
        <w:t>3725,</w:t>
      </w:r>
      <w:r w:rsidR="00BB36A3" w:rsidRPr="00D15DEE">
        <w:rPr>
          <w:sz w:val="28"/>
          <w:szCs w:val="28"/>
        </w:rPr>
        <w:t>0 тыс. руб. или на 292,2%;</w:t>
      </w:r>
    </w:p>
    <w:p w:rsidR="00BB36A3" w:rsidRPr="00C47A76" w:rsidRDefault="00BB36A3" w:rsidP="00651789">
      <w:pPr>
        <w:spacing w:line="360" w:lineRule="exact"/>
        <w:ind w:firstLine="708"/>
        <w:jc w:val="both"/>
        <w:rPr>
          <w:sz w:val="28"/>
          <w:szCs w:val="28"/>
          <w:u w:val="single"/>
        </w:rPr>
      </w:pPr>
      <w:r w:rsidRPr="00C47A76">
        <w:rPr>
          <w:sz w:val="28"/>
          <w:szCs w:val="28"/>
          <w:u w:val="single"/>
        </w:rPr>
        <w:t>Предусмотрены ассигнования на мероприятия</w:t>
      </w:r>
      <w:r w:rsidR="00A54ECC">
        <w:rPr>
          <w:sz w:val="28"/>
          <w:szCs w:val="28"/>
          <w:u w:val="single"/>
        </w:rPr>
        <w:t>, не предусмотренные в ранее утвержденном бюджете на 2021 г.</w:t>
      </w:r>
      <w:r w:rsidRPr="00C47A76">
        <w:rPr>
          <w:sz w:val="28"/>
          <w:szCs w:val="28"/>
          <w:u w:val="single"/>
        </w:rPr>
        <w:t>:</w:t>
      </w:r>
    </w:p>
    <w:p w:rsidR="000D7E93" w:rsidRDefault="00BB36A3" w:rsidP="000D7E93">
      <w:pPr>
        <w:pStyle w:val="a5"/>
        <w:numPr>
          <w:ilvl w:val="0"/>
          <w:numId w:val="23"/>
        </w:numPr>
        <w:spacing w:line="360" w:lineRule="exact"/>
        <w:ind w:left="0" w:firstLine="360"/>
        <w:jc w:val="both"/>
        <w:rPr>
          <w:sz w:val="28"/>
          <w:szCs w:val="28"/>
        </w:rPr>
      </w:pPr>
      <w:r w:rsidRPr="00C47A76">
        <w:rPr>
          <w:sz w:val="28"/>
          <w:szCs w:val="28"/>
        </w:rPr>
        <w:t xml:space="preserve">Формирование и ремонт муниципального жилищного фонда, в том числе переустройство, перепланировка на территории СГО </w:t>
      </w:r>
      <w:r w:rsidR="00B90FAF">
        <w:rPr>
          <w:sz w:val="28"/>
          <w:szCs w:val="28"/>
        </w:rPr>
        <w:t>–</w:t>
      </w:r>
      <w:r w:rsidRPr="00C47A76">
        <w:rPr>
          <w:sz w:val="28"/>
          <w:szCs w:val="28"/>
        </w:rPr>
        <w:t xml:space="preserve"> 9 547,5 тыс.</w:t>
      </w:r>
      <w:r w:rsidR="00B90FAF">
        <w:rPr>
          <w:sz w:val="28"/>
          <w:szCs w:val="28"/>
        </w:rPr>
        <w:t xml:space="preserve"> </w:t>
      </w:r>
      <w:r w:rsidRPr="00C47A76">
        <w:rPr>
          <w:sz w:val="28"/>
          <w:szCs w:val="28"/>
        </w:rPr>
        <w:t>руб.;</w:t>
      </w:r>
    </w:p>
    <w:p w:rsidR="00AA0F79" w:rsidRDefault="00BB36A3" w:rsidP="00AA0F79">
      <w:pPr>
        <w:pStyle w:val="a5"/>
        <w:numPr>
          <w:ilvl w:val="0"/>
          <w:numId w:val="23"/>
        </w:numPr>
        <w:spacing w:line="360" w:lineRule="exact"/>
        <w:ind w:left="0" w:firstLine="360"/>
        <w:jc w:val="both"/>
        <w:rPr>
          <w:sz w:val="28"/>
          <w:szCs w:val="28"/>
        </w:rPr>
      </w:pPr>
      <w:r w:rsidRPr="000D7E93">
        <w:rPr>
          <w:sz w:val="28"/>
          <w:szCs w:val="28"/>
        </w:rPr>
        <w:t>Разработка генерал</w:t>
      </w:r>
      <w:r w:rsidR="000D7E93">
        <w:rPr>
          <w:sz w:val="28"/>
          <w:szCs w:val="28"/>
        </w:rPr>
        <w:t xml:space="preserve">ьной схемы санитарной очистки </w:t>
      </w:r>
      <w:r w:rsidR="000D7E93">
        <w:rPr>
          <w:sz w:val="28"/>
          <w:szCs w:val="28"/>
        </w:rPr>
        <w:tab/>
        <w:t>–</w:t>
      </w:r>
      <w:r w:rsidRPr="000D7E93">
        <w:rPr>
          <w:sz w:val="28"/>
          <w:szCs w:val="28"/>
        </w:rPr>
        <w:t xml:space="preserve"> 5 747,0 тыс.</w:t>
      </w:r>
      <w:r w:rsidR="000D7E93">
        <w:rPr>
          <w:sz w:val="28"/>
          <w:szCs w:val="28"/>
        </w:rPr>
        <w:t xml:space="preserve"> </w:t>
      </w:r>
      <w:r w:rsidRPr="000D7E93">
        <w:rPr>
          <w:sz w:val="28"/>
          <w:szCs w:val="28"/>
        </w:rPr>
        <w:t>руб.;</w:t>
      </w:r>
    </w:p>
    <w:p w:rsidR="00AA0F79" w:rsidRDefault="00BB36A3" w:rsidP="00AA0F79">
      <w:pPr>
        <w:pStyle w:val="a5"/>
        <w:numPr>
          <w:ilvl w:val="0"/>
          <w:numId w:val="23"/>
        </w:numPr>
        <w:spacing w:line="360" w:lineRule="exact"/>
        <w:ind w:left="0" w:firstLine="360"/>
        <w:jc w:val="both"/>
        <w:rPr>
          <w:sz w:val="28"/>
          <w:szCs w:val="28"/>
        </w:rPr>
      </w:pPr>
      <w:r w:rsidRPr="00AA0F79">
        <w:rPr>
          <w:sz w:val="28"/>
          <w:szCs w:val="28"/>
        </w:rPr>
        <w:t>Разработка схем, проектирование и сооружение объектов инженерной инфраструктуры</w:t>
      </w:r>
      <w:r w:rsidRPr="00AA0F79">
        <w:rPr>
          <w:sz w:val="28"/>
          <w:szCs w:val="28"/>
        </w:rPr>
        <w:tab/>
      </w:r>
      <w:r w:rsidR="00AA0F79">
        <w:rPr>
          <w:sz w:val="28"/>
          <w:szCs w:val="28"/>
        </w:rPr>
        <w:t>–</w:t>
      </w:r>
      <w:r w:rsidRPr="00AA0F79">
        <w:rPr>
          <w:sz w:val="28"/>
          <w:szCs w:val="28"/>
        </w:rPr>
        <w:t xml:space="preserve"> 5 000,0 тыс.</w:t>
      </w:r>
      <w:r w:rsidR="00AA0F79">
        <w:rPr>
          <w:sz w:val="28"/>
          <w:szCs w:val="28"/>
        </w:rPr>
        <w:t xml:space="preserve"> </w:t>
      </w:r>
      <w:r w:rsidRPr="00AA0F79">
        <w:rPr>
          <w:sz w:val="28"/>
          <w:szCs w:val="28"/>
        </w:rPr>
        <w:t>руб.;</w:t>
      </w:r>
    </w:p>
    <w:p w:rsidR="00AA0F79" w:rsidRDefault="00BB36A3" w:rsidP="00AA0F79">
      <w:pPr>
        <w:pStyle w:val="a5"/>
        <w:numPr>
          <w:ilvl w:val="0"/>
          <w:numId w:val="23"/>
        </w:numPr>
        <w:spacing w:line="360" w:lineRule="exact"/>
        <w:ind w:left="0" w:firstLine="360"/>
        <w:jc w:val="both"/>
        <w:rPr>
          <w:sz w:val="28"/>
          <w:szCs w:val="28"/>
        </w:rPr>
      </w:pPr>
      <w:r w:rsidRPr="00AA0F79">
        <w:rPr>
          <w:sz w:val="28"/>
          <w:szCs w:val="28"/>
        </w:rPr>
        <w:t>разработка и актуализация технических паспортов на автомобильные дороги и ПОДД (проекты организации дорожного движения)</w:t>
      </w:r>
      <w:r w:rsidR="00AA0F79">
        <w:rPr>
          <w:sz w:val="28"/>
          <w:szCs w:val="28"/>
        </w:rPr>
        <w:t xml:space="preserve"> </w:t>
      </w:r>
      <w:r w:rsidRPr="00AA0F79">
        <w:rPr>
          <w:sz w:val="28"/>
          <w:szCs w:val="28"/>
        </w:rPr>
        <w:t>в рамках содержания дорог в сумме 1</w:t>
      </w:r>
      <w:r w:rsidR="00AA0F79">
        <w:rPr>
          <w:sz w:val="28"/>
          <w:szCs w:val="28"/>
        </w:rPr>
        <w:t>000</w:t>
      </w:r>
      <w:r w:rsidRPr="00AA0F79">
        <w:rPr>
          <w:sz w:val="28"/>
          <w:szCs w:val="28"/>
        </w:rPr>
        <w:t xml:space="preserve">,0 </w:t>
      </w:r>
      <w:r w:rsidR="00AA0F79">
        <w:rPr>
          <w:sz w:val="28"/>
          <w:szCs w:val="28"/>
        </w:rPr>
        <w:t>тыс</w:t>
      </w:r>
      <w:r w:rsidRPr="00AA0F79">
        <w:rPr>
          <w:sz w:val="28"/>
          <w:szCs w:val="28"/>
        </w:rPr>
        <w:t>. руб</w:t>
      </w:r>
      <w:r w:rsidR="00AA0F79">
        <w:rPr>
          <w:sz w:val="28"/>
          <w:szCs w:val="28"/>
        </w:rPr>
        <w:t>.</w:t>
      </w:r>
      <w:r w:rsidRPr="00AA0F79">
        <w:rPr>
          <w:sz w:val="28"/>
          <w:szCs w:val="28"/>
        </w:rPr>
        <w:t>;</w:t>
      </w:r>
    </w:p>
    <w:p w:rsidR="00BB36A3" w:rsidRPr="00AA0F79" w:rsidRDefault="00BB36A3" w:rsidP="00AA0F79">
      <w:pPr>
        <w:pStyle w:val="a5"/>
        <w:numPr>
          <w:ilvl w:val="0"/>
          <w:numId w:val="23"/>
        </w:numPr>
        <w:spacing w:line="360" w:lineRule="exact"/>
        <w:ind w:left="0" w:firstLine="360"/>
        <w:jc w:val="both"/>
        <w:rPr>
          <w:sz w:val="28"/>
          <w:szCs w:val="28"/>
        </w:rPr>
      </w:pPr>
      <w:r w:rsidRPr="00AA0F79">
        <w:rPr>
          <w:sz w:val="28"/>
          <w:szCs w:val="28"/>
        </w:rPr>
        <w:t>Устройство и восстановление сетей наружного освещения на сумму 21</w:t>
      </w:r>
      <w:r w:rsidR="00AA0F79">
        <w:rPr>
          <w:sz w:val="28"/>
          <w:szCs w:val="28"/>
        </w:rPr>
        <w:t xml:space="preserve">00,0 </w:t>
      </w:r>
      <w:proofErr w:type="spellStart"/>
      <w:r w:rsidR="00AA0F79">
        <w:rPr>
          <w:sz w:val="28"/>
          <w:szCs w:val="28"/>
        </w:rPr>
        <w:t>тыс</w:t>
      </w:r>
      <w:proofErr w:type="gramStart"/>
      <w:r w:rsidR="00AA0F79">
        <w:rPr>
          <w:sz w:val="28"/>
          <w:szCs w:val="28"/>
        </w:rPr>
        <w:t>.</w:t>
      </w:r>
      <w:r w:rsidRPr="00AA0F79">
        <w:rPr>
          <w:sz w:val="28"/>
          <w:szCs w:val="28"/>
        </w:rPr>
        <w:t>р</w:t>
      </w:r>
      <w:proofErr w:type="gramEnd"/>
      <w:r w:rsidRPr="00AA0F79">
        <w:rPr>
          <w:sz w:val="28"/>
          <w:szCs w:val="28"/>
        </w:rPr>
        <w:t>уб</w:t>
      </w:r>
      <w:proofErr w:type="spellEnd"/>
      <w:r w:rsidRPr="00AA0F79">
        <w:rPr>
          <w:sz w:val="28"/>
          <w:szCs w:val="28"/>
        </w:rPr>
        <w:t>. В рамках данного мероприятия будут произведены работы по устройству вновь линий наружного освещения и восстановлению некогда существовавших.</w:t>
      </w:r>
    </w:p>
    <w:p w:rsidR="00BB36A3" w:rsidRPr="00CC0AEE" w:rsidRDefault="00BB36A3" w:rsidP="00651789">
      <w:pPr>
        <w:pStyle w:val="a5"/>
        <w:spacing w:line="360" w:lineRule="exact"/>
        <w:ind w:left="1429"/>
        <w:jc w:val="both"/>
        <w:rPr>
          <w:sz w:val="28"/>
          <w:szCs w:val="28"/>
        </w:rPr>
      </w:pPr>
      <w:r w:rsidRPr="00CC0AEE">
        <w:rPr>
          <w:sz w:val="28"/>
          <w:szCs w:val="28"/>
        </w:rPr>
        <w:tab/>
      </w:r>
    </w:p>
    <w:p w:rsidR="00BB36A3" w:rsidRPr="004E20B2" w:rsidRDefault="00BB36A3" w:rsidP="00651789">
      <w:pPr>
        <w:spacing w:line="360" w:lineRule="exact"/>
        <w:ind w:firstLine="708"/>
        <w:jc w:val="both"/>
        <w:rPr>
          <w:sz w:val="28"/>
          <w:szCs w:val="28"/>
        </w:rPr>
      </w:pPr>
      <w:r w:rsidRPr="004E20B2">
        <w:rPr>
          <w:i/>
          <w:sz w:val="28"/>
          <w:szCs w:val="28"/>
        </w:rPr>
        <w:t xml:space="preserve">МП "Развитие комплексной безопасности на территории Соликамского городского округа, развитие АПК "Безопасный город" </w:t>
      </w:r>
      <w:r>
        <w:rPr>
          <w:i/>
          <w:sz w:val="28"/>
          <w:szCs w:val="28"/>
        </w:rPr>
        <w:t xml:space="preserve">увеличение составило </w:t>
      </w:r>
      <w:r w:rsidRPr="004E20B2">
        <w:rPr>
          <w:sz w:val="28"/>
          <w:szCs w:val="28"/>
        </w:rPr>
        <w:t xml:space="preserve"> – 30,5% или  10 139,4 тыс. руб. </w:t>
      </w:r>
    </w:p>
    <w:p w:rsidR="00BB36A3" w:rsidRPr="003E5791" w:rsidRDefault="00BB36A3" w:rsidP="00651789">
      <w:pPr>
        <w:spacing w:line="360" w:lineRule="exact"/>
        <w:contextualSpacing/>
        <w:jc w:val="both"/>
        <w:rPr>
          <w:sz w:val="28"/>
          <w:szCs w:val="28"/>
        </w:rPr>
      </w:pPr>
      <w:r w:rsidRPr="00CC0AEE">
        <w:rPr>
          <w:sz w:val="28"/>
          <w:szCs w:val="28"/>
        </w:rPr>
        <w:tab/>
        <w:t>В</w:t>
      </w:r>
      <w:r w:rsidRPr="003E5791">
        <w:rPr>
          <w:sz w:val="28"/>
          <w:szCs w:val="28"/>
        </w:rPr>
        <w:t xml:space="preserve"> рамках подпрограммы «Общественная безопасность на территории СГО»  предусмотрен</w:t>
      </w:r>
      <w:r>
        <w:rPr>
          <w:sz w:val="28"/>
          <w:szCs w:val="28"/>
        </w:rPr>
        <w:t>о</w:t>
      </w:r>
      <w:r w:rsidRPr="003E5791">
        <w:rPr>
          <w:sz w:val="28"/>
          <w:szCs w:val="28"/>
        </w:rPr>
        <w:t xml:space="preserve"> мероприяти</w:t>
      </w:r>
      <w:r>
        <w:rPr>
          <w:sz w:val="28"/>
          <w:szCs w:val="28"/>
        </w:rPr>
        <w:t>е</w:t>
      </w:r>
      <w:r w:rsidRPr="003E5791">
        <w:rPr>
          <w:sz w:val="28"/>
          <w:szCs w:val="28"/>
        </w:rPr>
        <w:t>: «профилактика терроризма» в сумме 1 095,2 тыс.</w:t>
      </w:r>
      <w:r w:rsidR="00296C25">
        <w:rPr>
          <w:sz w:val="28"/>
          <w:szCs w:val="28"/>
        </w:rPr>
        <w:t xml:space="preserve"> </w:t>
      </w:r>
      <w:r w:rsidRPr="003E5791">
        <w:rPr>
          <w:sz w:val="28"/>
          <w:szCs w:val="28"/>
        </w:rPr>
        <w:t xml:space="preserve">руб. </w:t>
      </w:r>
      <w:r>
        <w:rPr>
          <w:sz w:val="28"/>
          <w:szCs w:val="28"/>
        </w:rPr>
        <w:t xml:space="preserve"> </w:t>
      </w:r>
      <w:r w:rsidRPr="003E5791">
        <w:rPr>
          <w:sz w:val="28"/>
          <w:szCs w:val="28"/>
        </w:rPr>
        <w:t>Увеличение бюджетных ассигнований 202</w:t>
      </w:r>
      <w:r w:rsidR="00A54ECC">
        <w:rPr>
          <w:sz w:val="28"/>
          <w:szCs w:val="28"/>
        </w:rPr>
        <w:t>1</w:t>
      </w:r>
      <w:r w:rsidRPr="003E5791">
        <w:rPr>
          <w:sz w:val="28"/>
          <w:szCs w:val="28"/>
        </w:rPr>
        <w:t xml:space="preserve"> года произошло по расходам </w:t>
      </w:r>
      <w:r>
        <w:rPr>
          <w:sz w:val="28"/>
          <w:szCs w:val="28"/>
        </w:rPr>
        <w:t>по мероприятию «</w:t>
      </w:r>
      <w:r w:rsidRPr="003E5791">
        <w:rPr>
          <w:sz w:val="28"/>
          <w:szCs w:val="28"/>
        </w:rPr>
        <w:t xml:space="preserve"> Создание эффективной системы пожарной безопасности</w:t>
      </w:r>
      <w:r>
        <w:rPr>
          <w:sz w:val="28"/>
          <w:szCs w:val="28"/>
        </w:rPr>
        <w:t>»</w:t>
      </w:r>
      <w:r w:rsidRPr="003E5791">
        <w:rPr>
          <w:sz w:val="28"/>
          <w:szCs w:val="28"/>
        </w:rPr>
        <w:t xml:space="preserve"> – на 5 768,2 тыс. руб. или </w:t>
      </w:r>
      <w:r>
        <w:rPr>
          <w:sz w:val="28"/>
          <w:szCs w:val="28"/>
        </w:rPr>
        <w:t>64,6</w:t>
      </w:r>
      <w:r w:rsidRPr="003E5791">
        <w:rPr>
          <w:sz w:val="28"/>
          <w:szCs w:val="28"/>
        </w:rPr>
        <w:t>%</w:t>
      </w:r>
      <w:r>
        <w:rPr>
          <w:sz w:val="28"/>
          <w:szCs w:val="28"/>
        </w:rPr>
        <w:t>.</w:t>
      </w:r>
      <w:r w:rsidRPr="003E5791">
        <w:rPr>
          <w:sz w:val="28"/>
          <w:szCs w:val="28"/>
        </w:rPr>
        <w:t xml:space="preserve"> </w:t>
      </w:r>
    </w:p>
    <w:p w:rsidR="00BB36A3" w:rsidRDefault="00BB36A3" w:rsidP="00651789">
      <w:pPr>
        <w:pStyle w:val="a5"/>
        <w:spacing w:line="360" w:lineRule="exact"/>
        <w:ind w:left="1069"/>
        <w:jc w:val="both"/>
        <w:rPr>
          <w:sz w:val="28"/>
          <w:szCs w:val="28"/>
        </w:rPr>
      </w:pPr>
      <w:r>
        <w:rPr>
          <w:sz w:val="28"/>
          <w:szCs w:val="28"/>
        </w:rPr>
        <w:t xml:space="preserve"> </w:t>
      </w:r>
    </w:p>
    <w:p w:rsidR="00BB36A3" w:rsidRPr="0071642C" w:rsidRDefault="00BB36A3" w:rsidP="0071642C">
      <w:pPr>
        <w:spacing w:line="360" w:lineRule="exact"/>
        <w:ind w:firstLine="708"/>
        <w:jc w:val="both"/>
        <w:rPr>
          <w:i/>
          <w:sz w:val="28"/>
          <w:szCs w:val="28"/>
        </w:rPr>
      </w:pPr>
      <w:proofErr w:type="gramStart"/>
      <w:r>
        <w:rPr>
          <w:i/>
          <w:sz w:val="28"/>
          <w:szCs w:val="28"/>
        </w:rPr>
        <w:t>МП «Развитие системы образования Соликамского городского округа» увеличение на 47 933,7 тыс.</w:t>
      </w:r>
      <w:r w:rsidR="00220D50">
        <w:rPr>
          <w:i/>
          <w:sz w:val="28"/>
          <w:szCs w:val="28"/>
        </w:rPr>
        <w:t xml:space="preserve"> </w:t>
      </w:r>
      <w:r>
        <w:rPr>
          <w:i/>
          <w:sz w:val="28"/>
          <w:szCs w:val="28"/>
        </w:rPr>
        <w:t xml:space="preserve">руб.  или 13,2% </w:t>
      </w:r>
      <w:r w:rsidRPr="00AE74F5">
        <w:rPr>
          <w:sz w:val="28"/>
          <w:szCs w:val="28"/>
        </w:rPr>
        <w:t>связано с расход</w:t>
      </w:r>
      <w:r w:rsidR="00116C1F">
        <w:rPr>
          <w:sz w:val="28"/>
          <w:szCs w:val="28"/>
        </w:rPr>
        <w:t>ами</w:t>
      </w:r>
      <w:r w:rsidRPr="00AE74F5">
        <w:rPr>
          <w:sz w:val="28"/>
          <w:szCs w:val="28"/>
        </w:rPr>
        <w:t xml:space="preserve"> на реализацию </w:t>
      </w:r>
      <w:r w:rsidR="00116C1F" w:rsidRPr="00116C1F">
        <w:rPr>
          <w:sz w:val="28"/>
          <w:szCs w:val="28"/>
        </w:rPr>
        <w:t xml:space="preserve">Программы по развитию Соликамского городского округа на 2019-2021 годы </w:t>
      </w:r>
      <w:r w:rsidRPr="00AE74F5">
        <w:rPr>
          <w:sz w:val="28"/>
          <w:szCs w:val="28"/>
        </w:rPr>
        <w:t>(долевое участие местного бюджета) в размере 10 028,1 тыс.</w:t>
      </w:r>
      <w:r w:rsidR="00116C1F">
        <w:rPr>
          <w:sz w:val="28"/>
          <w:szCs w:val="28"/>
        </w:rPr>
        <w:t xml:space="preserve"> </w:t>
      </w:r>
      <w:r w:rsidRPr="00AE74F5">
        <w:rPr>
          <w:sz w:val="28"/>
          <w:szCs w:val="28"/>
        </w:rPr>
        <w:t>руб.</w:t>
      </w:r>
      <w:r w:rsidR="00116C1F">
        <w:rPr>
          <w:sz w:val="28"/>
          <w:szCs w:val="28"/>
        </w:rPr>
        <w:t xml:space="preserve"> </w:t>
      </w:r>
      <w:r>
        <w:rPr>
          <w:sz w:val="28"/>
          <w:szCs w:val="28"/>
        </w:rPr>
        <w:t xml:space="preserve">(средства планируется направить на ремонт образовательных учреждений по предписаниям надзорных </w:t>
      </w:r>
      <w:r>
        <w:rPr>
          <w:sz w:val="28"/>
          <w:szCs w:val="28"/>
        </w:rPr>
        <w:lastRenderedPageBreak/>
        <w:t>органов и решений судов),</w:t>
      </w:r>
      <w:r w:rsidRPr="00AE74F5">
        <w:t xml:space="preserve"> </w:t>
      </w:r>
      <w:r w:rsidRPr="00FD68CD">
        <w:rPr>
          <w:sz w:val="28"/>
          <w:szCs w:val="28"/>
        </w:rPr>
        <w:t>а так же с</w:t>
      </w:r>
      <w:r>
        <w:t xml:space="preserve"> </w:t>
      </w:r>
      <w:r>
        <w:rPr>
          <w:sz w:val="28"/>
          <w:szCs w:val="28"/>
        </w:rPr>
        <w:t>увеличени</w:t>
      </w:r>
      <w:r w:rsidRPr="00AE74F5">
        <w:rPr>
          <w:sz w:val="28"/>
          <w:szCs w:val="28"/>
        </w:rPr>
        <w:t xml:space="preserve">ем расходов </w:t>
      </w:r>
      <w:r>
        <w:rPr>
          <w:sz w:val="28"/>
          <w:szCs w:val="28"/>
        </w:rPr>
        <w:t>по</w:t>
      </w:r>
      <w:proofErr w:type="gramEnd"/>
      <w:r>
        <w:rPr>
          <w:sz w:val="28"/>
          <w:szCs w:val="28"/>
        </w:rPr>
        <w:t xml:space="preserve"> мероприятиям </w:t>
      </w:r>
      <w:r w:rsidRPr="00AE74F5">
        <w:rPr>
          <w:sz w:val="28"/>
          <w:szCs w:val="28"/>
        </w:rPr>
        <w:t xml:space="preserve">на </w:t>
      </w:r>
      <w:r>
        <w:rPr>
          <w:sz w:val="28"/>
          <w:szCs w:val="28"/>
        </w:rPr>
        <w:t>п</w:t>
      </w:r>
      <w:r w:rsidRPr="00AE74F5">
        <w:rPr>
          <w:sz w:val="28"/>
          <w:szCs w:val="28"/>
        </w:rPr>
        <w:t>редоставление услуг присмотра и ухода в муниципальных дошкольных учреждениях на 21 664,6</w:t>
      </w:r>
      <w:r w:rsidR="00DC7E17">
        <w:rPr>
          <w:sz w:val="28"/>
          <w:szCs w:val="28"/>
        </w:rPr>
        <w:t xml:space="preserve"> </w:t>
      </w:r>
      <w:r w:rsidRPr="00AE74F5">
        <w:rPr>
          <w:sz w:val="28"/>
          <w:szCs w:val="28"/>
        </w:rPr>
        <w:t>тыс.</w:t>
      </w:r>
      <w:r w:rsidR="00DC7E17">
        <w:rPr>
          <w:sz w:val="28"/>
          <w:szCs w:val="28"/>
        </w:rPr>
        <w:t xml:space="preserve"> </w:t>
      </w:r>
      <w:r w:rsidRPr="00AE74F5">
        <w:rPr>
          <w:sz w:val="28"/>
          <w:szCs w:val="28"/>
        </w:rPr>
        <w:t xml:space="preserve">руб. и </w:t>
      </w:r>
      <w:r>
        <w:rPr>
          <w:sz w:val="28"/>
          <w:szCs w:val="28"/>
        </w:rPr>
        <w:t>п</w:t>
      </w:r>
      <w:r w:rsidRPr="00AE74F5">
        <w:rPr>
          <w:sz w:val="28"/>
          <w:szCs w:val="28"/>
        </w:rPr>
        <w:t>редоставление услуг в сфере общего образования на 18 472,7 тыс.</w:t>
      </w:r>
      <w:r w:rsidR="00DC7E17">
        <w:rPr>
          <w:sz w:val="28"/>
          <w:szCs w:val="28"/>
        </w:rPr>
        <w:t xml:space="preserve"> </w:t>
      </w:r>
      <w:r w:rsidRPr="00AE74F5">
        <w:rPr>
          <w:sz w:val="28"/>
          <w:szCs w:val="28"/>
        </w:rPr>
        <w:t>руб.</w:t>
      </w:r>
      <w:r w:rsidR="00DC7E17">
        <w:rPr>
          <w:sz w:val="28"/>
          <w:szCs w:val="28"/>
        </w:rPr>
        <w:t xml:space="preserve"> </w:t>
      </w:r>
      <w:r w:rsidR="0071642C" w:rsidRPr="0071642C">
        <w:rPr>
          <w:i/>
          <w:sz w:val="28"/>
          <w:szCs w:val="28"/>
        </w:rPr>
        <w:t>Рост расходов связан с тем, что ассигнования планового периода 2021 года утверждены ниже ассигнований 2020 года</w:t>
      </w:r>
      <w:r w:rsidR="0071642C">
        <w:rPr>
          <w:i/>
          <w:sz w:val="28"/>
          <w:szCs w:val="28"/>
        </w:rPr>
        <w:t>, также</w:t>
      </w:r>
      <w:r>
        <w:rPr>
          <w:sz w:val="28"/>
          <w:szCs w:val="28"/>
        </w:rPr>
        <w:t xml:space="preserve">  </w:t>
      </w:r>
      <w:r w:rsidRPr="0071642C">
        <w:rPr>
          <w:i/>
          <w:sz w:val="28"/>
          <w:szCs w:val="28"/>
        </w:rPr>
        <w:t xml:space="preserve">ростом тарифов на коммунальные услуги. </w:t>
      </w:r>
    </w:p>
    <w:p w:rsidR="00DC7E17" w:rsidRDefault="00DC7E17" w:rsidP="00651789">
      <w:pPr>
        <w:spacing w:line="360" w:lineRule="exact"/>
        <w:ind w:firstLine="708"/>
        <w:jc w:val="both"/>
        <w:rPr>
          <w:i/>
          <w:sz w:val="28"/>
          <w:szCs w:val="28"/>
        </w:rPr>
      </w:pPr>
    </w:p>
    <w:p w:rsidR="00BB36A3" w:rsidRPr="00CC0AEE" w:rsidRDefault="00BB36A3" w:rsidP="00651789">
      <w:pPr>
        <w:spacing w:line="360" w:lineRule="exact"/>
        <w:ind w:firstLine="708"/>
        <w:jc w:val="both"/>
        <w:rPr>
          <w:i/>
          <w:sz w:val="28"/>
          <w:szCs w:val="28"/>
        </w:rPr>
      </w:pPr>
      <w:r w:rsidRPr="00CC0AEE">
        <w:rPr>
          <w:i/>
          <w:sz w:val="28"/>
          <w:szCs w:val="28"/>
        </w:rPr>
        <w:t xml:space="preserve">МП «Ресурсное обеспечение деятельности органов местного самоуправления Соликамского городского округа» - 12,5 % или 32 392,7 тыс. руб. </w:t>
      </w:r>
    </w:p>
    <w:p w:rsidR="00BB36A3" w:rsidRPr="00507314" w:rsidRDefault="00BB36A3" w:rsidP="00651789">
      <w:pPr>
        <w:spacing w:line="360" w:lineRule="exact"/>
        <w:ind w:firstLine="708"/>
        <w:jc w:val="both"/>
        <w:rPr>
          <w:sz w:val="28"/>
          <w:szCs w:val="28"/>
        </w:rPr>
      </w:pPr>
      <w:r w:rsidRPr="00507314">
        <w:rPr>
          <w:sz w:val="28"/>
          <w:szCs w:val="28"/>
        </w:rPr>
        <w:t xml:space="preserve">В программу добавлены новые мероприятия, ранее реализовывающиеся в МП «Развитие информационного общества на территории СГО» </w:t>
      </w:r>
      <w:r w:rsidR="009A2828">
        <w:rPr>
          <w:sz w:val="28"/>
          <w:szCs w:val="28"/>
        </w:rPr>
        <w:t>–</w:t>
      </w:r>
      <w:r w:rsidRPr="00507314">
        <w:rPr>
          <w:sz w:val="28"/>
          <w:szCs w:val="28"/>
        </w:rPr>
        <w:t xml:space="preserve"> это</w:t>
      </w:r>
      <w:r>
        <w:rPr>
          <w:sz w:val="28"/>
          <w:szCs w:val="28"/>
        </w:rPr>
        <w:t xml:space="preserve"> </w:t>
      </w:r>
      <w:r w:rsidRPr="00507314">
        <w:rPr>
          <w:sz w:val="28"/>
          <w:szCs w:val="28"/>
        </w:rPr>
        <w:t>приведение в нормативное состояние имущественных комплексов и прилегающих территорий учреждений, подведомственных администрации СГО 2700,0 тыс.</w:t>
      </w:r>
      <w:r w:rsidR="009A2828">
        <w:rPr>
          <w:sz w:val="28"/>
          <w:szCs w:val="28"/>
        </w:rPr>
        <w:t xml:space="preserve"> </w:t>
      </w:r>
      <w:r w:rsidRPr="00507314">
        <w:rPr>
          <w:sz w:val="28"/>
          <w:szCs w:val="28"/>
        </w:rPr>
        <w:t>руб. и предоставление услуг прочим учреждениям образования (субсидия МАОУ ДПО "Ресурсный центр НИТ"</w:t>
      </w:r>
      <w:r w:rsidR="00997264">
        <w:rPr>
          <w:sz w:val="28"/>
          <w:szCs w:val="28"/>
        </w:rPr>
        <w:t xml:space="preserve"> – </w:t>
      </w:r>
      <w:r w:rsidR="00997264" w:rsidRPr="00997264">
        <w:rPr>
          <w:sz w:val="28"/>
          <w:szCs w:val="28"/>
        </w:rPr>
        <w:t>12 726,4</w:t>
      </w:r>
      <w:r w:rsidR="00997264">
        <w:rPr>
          <w:sz w:val="28"/>
          <w:szCs w:val="28"/>
        </w:rPr>
        <w:t xml:space="preserve"> тыс. руб.</w:t>
      </w:r>
      <w:r w:rsidRPr="00507314">
        <w:rPr>
          <w:sz w:val="28"/>
          <w:szCs w:val="28"/>
        </w:rPr>
        <w:t>).</w:t>
      </w:r>
    </w:p>
    <w:p w:rsidR="00BB36A3" w:rsidRPr="00B60A68" w:rsidRDefault="00BB36A3" w:rsidP="00651789">
      <w:pPr>
        <w:spacing w:line="360" w:lineRule="exact"/>
        <w:ind w:firstLine="708"/>
        <w:jc w:val="both"/>
        <w:rPr>
          <w:sz w:val="28"/>
          <w:szCs w:val="28"/>
        </w:rPr>
      </w:pPr>
      <w:r w:rsidRPr="00B60A68">
        <w:rPr>
          <w:sz w:val="28"/>
          <w:szCs w:val="28"/>
        </w:rPr>
        <w:t>Увеличились расходы на содержание аппаратов администрации СГО (на 6 151,5 тыс. руб.), на обеспечение деятельности МКУ «Центр бухгалтерского учета» (на 8</w:t>
      </w:r>
      <w:r w:rsidR="009A2828">
        <w:rPr>
          <w:sz w:val="28"/>
          <w:szCs w:val="28"/>
        </w:rPr>
        <w:t> 810,5</w:t>
      </w:r>
      <w:r w:rsidRPr="00B60A68">
        <w:rPr>
          <w:sz w:val="28"/>
          <w:szCs w:val="28"/>
        </w:rPr>
        <w:t xml:space="preserve"> тыс. руб.) и МБУ «ЦОТО» (на 9 233,2 тыс. руб.). </w:t>
      </w:r>
    </w:p>
    <w:p w:rsidR="00BB36A3" w:rsidRPr="00507314" w:rsidRDefault="00BB36A3" w:rsidP="00651789">
      <w:pPr>
        <w:spacing w:line="360" w:lineRule="exact"/>
        <w:ind w:firstLine="708"/>
        <w:jc w:val="both"/>
        <w:rPr>
          <w:i/>
          <w:sz w:val="28"/>
          <w:szCs w:val="28"/>
        </w:rPr>
      </w:pPr>
      <w:r w:rsidRPr="00507314">
        <w:rPr>
          <w:i/>
          <w:sz w:val="28"/>
          <w:szCs w:val="28"/>
        </w:rPr>
        <w:t>Рост расходов связан с тем, что ассигнования планового периода 202</w:t>
      </w:r>
      <w:r>
        <w:rPr>
          <w:i/>
          <w:sz w:val="28"/>
          <w:szCs w:val="28"/>
        </w:rPr>
        <w:t>1</w:t>
      </w:r>
      <w:r w:rsidRPr="00507314">
        <w:rPr>
          <w:i/>
          <w:sz w:val="28"/>
          <w:szCs w:val="28"/>
        </w:rPr>
        <w:t xml:space="preserve"> года утверждены ниже ассигнований 20</w:t>
      </w:r>
      <w:r>
        <w:rPr>
          <w:i/>
          <w:sz w:val="28"/>
          <w:szCs w:val="28"/>
        </w:rPr>
        <w:t>20</w:t>
      </w:r>
      <w:r w:rsidRPr="00507314">
        <w:rPr>
          <w:i/>
          <w:sz w:val="28"/>
          <w:szCs w:val="28"/>
        </w:rPr>
        <w:t xml:space="preserve"> года.</w:t>
      </w:r>
    </w:p>
    <w:p w:rsidR="00BB36A3" w:rsidRPr="00425A5B" w:rsidRDefault="00BB36A3" w:rsidP="00651789">
      <w:pPr>
        <w:spacing w:line="360" w:lineRule="exact"/>
        <w:ind w:firstLine="708"/>
        <w:jc w:val="both"/>
        <w:rPr>
          <w:sz w:val="28"/>
          <w:szCs w:val="28"/>
          <w:highlight w:val="yellow"/>
        </w:rPr>
      </w:pPr>
      <w:r w:rsidRPr="00425A5B">
        <w:rPr>
          <w:sz w:val="28"/>
          <w:szCs w:val="28"/>
          <w:highlight w:val="yellow"/>
        </w:rPr>
        <w:t xml:space="preserve"> </w:t>
      </w:r>
    </w:p>
    <w:p w:rsidR="00BB36A3" w:rsidRPr="00B6570E" w:rsidRDefault="00BB36A3" w:rsidP="00651789">
      <w:pPr>
        <w:spacing w:line="360" w:lineRule="exact"/>
        <w:jc w:val="both"/>
        <w:rPr>
          <w:sz w:val="28"/>
          <w:szCs w:val="28"/>
        </w:rPr>
      </w:pPr>
      <w:r w:rsidRPr="00B6052B">
        <w:rPr>
          <w:sz w:val="28"/>
          <w:szCs w:val="28"/>
        </w:rPr>
        <w:tab/>
      </w:r>
      <w:proofErr w:type="gramStart"/>
      <w:r w:rsidRPr="00B6052B">
        <w:rPr>
          <w:i/>
          <w:sz w:val="28"/>
          <w:szCs w:val="28"/>
        </w:rPr>
        <w:t>По МП «Развитие сферы культуры, туризма и молодежной политики Соликамского городского округа» бюджетные ассигнования увеличены на 7,7% или 13 178,7 тыс. руб</w:t>
      </w:r>
      <w:r w:rsidRPr="00B6570E">
        <w:rPr>
          <w:i/>
          <w:sz w:val="28"/>
          <w:szCs w:val="28"/>
        </w:rPr>
        <w:t>.</w:t>
      </w:r>
      <w:r>
        <w:rPr>
          <w:i/>
          <w:sz w:val="28"/>
          <w:szCs w:val="28"/>
        </w:rPr>
        <w:t xml:space="preserve"> </w:t>
      </w:r>
      <w:r w:rsidRPr="00152258">
        <w:rPr>
          <w:sz w:val="28"/>
          <w:szCs w:val="28"/>
        </w:rPr>
        <w:t xml:space="preserve">В программе   </w:t>
      </w:r>
      <w:r>
        <w:rPr>
          <w:sz w:val="28"/>
          <w:szCs w:val="28"/>
        </w:rPr>
        <w:t>п</w:t>
      </w:r>
      <w:r w:rsidRPr="00152258">
        <w:rPr>
          <w:sz w:val="28"/>
          <w:szCs w:val="28"/>
        </w:rPr>
        <w:t>редусмотрены</w:t>
      </w:r>
      <w:r w:rsidRPr="00B6570E">
        <w:rPr>
          <w:sz w:val="28"/>
          <w:szCs w:val="28"/>
        </w:rPr>
        <w:t xml:space="preserve"> расход</w:t>
      </w:r>
      <w:r>
        <w:rPr>
          <w:sz w:val="28"/>
          <w:szCs w:val="28"/>
        </w:rPr>
        <w:t xml:space="preserve">ы (долевое участие местного бюджета) </w:t>
      </w:r>
      <w:r w:rsidRPr="00B6570E">
        <w:rPr>
          <w:sz w:val="28"/>
          <w:szCs w:val="28"/>
        </w:rPr>
        <w:t>на реализацию программы по развитию С</w:t>
      </w:r>
      <w:r>
        <w:rPr>
          <w:sz w:val="28"/>
          <w:szCs w:val="28"/>
        </w:rPr>
        <w:t>оликамского городского округа</w:t>
      </w:r>
      <w:r w:rsidRPr="00B6570E">
        <w:rPr>
          <w:sz w:val="28"/>
          <w:szCs w:val="28"/>
        </w:rPr>
        <w:t xml:space="preserve"> на 2019-2021годы в размере 5</w:t>
      </w:r>
      <w:r>
        <w:rPr>
          <w:sz w:val="28"/>
          <w:szCs w:val="28"/>
        </w:rPr>
        <w:t xml:space="preserve"> </w:t>
      </w:r>
      <w:r w:rsidRPr="00B6570E">
        <w:rPr>
          <w:sz w:val="28"/>
          <w:szCs w:val="28"/>
        </w:rPr>
        <w:t>818,8 тыс.</w:t>
      </w:r>
      <w:r w:rsidR="0072741D">
        <w:rPr>
          <w:sz w:val="28"/>
          <w:szCs w:val="28"/>
        </w:rPr>
        <w:t xml:space="preserve"> </w:t>
      </w:r>
      <w:r w:rsidRPr="00B6570E">
        <w:rPr>
          <w:sz w:val="28"/>
          <w:szCs w:val="28"/>
        </w:rPr>
        <w:t>руб.,</w:t>
      </w:r>
      <w:r>
        <w:rPr>
          <w:sz w:val="28"/>
          <w:szCs w:val="28"/>
        </w:rPr>
        <w:t xml:space="preserve"> </w:t>
      </w:r>
      <w:r w:rsidRPr="00B6570E">
        <w:rPr>
          <w:sz w:val="28"/>
          <w:szCs w:val="28"/>
        </w:rPr>
        <w:t>у</w:t>
      </w:r>
      <w:r>
        <w:rPr>
          <w:sz w:val="28"/>
          <w:szCs w:val="28"/>
        </w:rPr>
        <w:t xml:space="preserve">величены расходы по предоставлению </w:t>
      </w:r>
      <w:r w:rsidRPr="00B6570E">
        <w:rPr>
          <w:sz w:val="28"/>
          <w:szCs w:val="28"/>
        </w:rPr>
        <w:t xml:space="preserve"> услуг по культурно-досуговой деятельности</w:t>
      </w:r>
      <w:r>
        <w:rPr>
          <w:sz w:val="28"/>
          <w:szCs w:val="28"/>
        </w:rPr>
        <w:t xml:space="preserve"> </w:t>
      </w:r>
      <w:r w:rsidRPr="00B6570E">
        <w:rPr>
          <w:sz w:val="28"/>
          <w:szCs w:val="28"/>
        </w:rPr>
        <w:t>на 4 380,3 тыс. руб.</w:t>
      </w:r>
      <w:r w:rsidR="00AC633B">
        <w:rPr>
          <w:sz w:val="28"/>
          <w:szCs w:val="28"/>
        </w:rPr>
        <w:t>, а</w:t>
      </w:r>
      <w:proofErr w:type="gramEnd"/>
      <w:r w:rsidR="00AC633B">
        <w:rPr>
          <w:sz w:val="28"/>
          <w:szCs w:val="28"/>
        </w:rPr>
        <w:t xml:space="preserve"> также предусмотрены средства в размере 6</w:t>
      </w:r>
      <w:r w:rsidR="00CA2AD1">
        <w:rPr>
          <w:sz w:val="28"/>
          <w:szCs w:val="28"/>
        </w:rPr>
        <w:t>1</w:t>
      </w:r>
      <w:r w:rsidR="00AC633B">
        <w:rPr>
          <w:sz w:val="28"/>
          <w:szCs w:val="28"/>
        </w:rPr>
        <w:t>00,0 тыс. руб. (долевое участие) на реставрацию объектов культурного наследия.</w:t>
      </w:r>
    </w:p>
    <w:p w:rsidR="0087659A" w:rsidRDefault="0072741D" w:rsidP="00651789">
      <w:pPr>
        <w:spacing w:line="360" w:lineRule="exact"/>
        <w:jc w:val="both"/>
        <w:rPr>
          <w:sz w:val="28"/>
          <w:szCs w:val="28"/>
        </w:rPr>
      </w:pPr>
      <w:r>
        <w:rPr>
          <w:sz w:val="28"/>
          <w:szCs w:val="28"/>
        </w:rPr>
        <w:tab/>
      </w:r>
      <w:r w:rsidR="00BB36A3" w:rsidRPr="00B6570E">
        <w:rPr>
          <w:sz w:val="28"/>
          <w:szCs w:val="28"/>
        </w:rPr>
        <w:t>По остальным муниципальным</w:t>
      </w:r>
      <w:r w:rsidR="00BB36A3" w:rsidRPr="00B6052B">
        <w:rPr>
          <w:sz w:val="28"/>
          <w:szCs w:val="28"/>
        </w:rPr>
        <w:t xml:space="preserve"> программам расходы за счет средств местного бюджета на 2021 год остались на том же  уровне, который утвержден решением Думы Соликамского городского округа от </w:t>
      </w:r>
      <w:r w:rsidR="00BB36A3" w:rsidRPr="00B6052B">
        <w:rPr>
          <w:bCs/>
          <w:sz w:val="28"/>
          <w:szCs w:val="28"/>
        </w:rPr>
        <w:t>18</w:t>
      </w:r>
      <w:r>
        <w:rPr>
          <w:bCs/>
          <w:sz w:val="28"/>
          <w:szCs w:val="28"/>
        </w:rPr>
        <w:t>.12.</w:t>
      </w:r>
      <w:r w:rsidR="00BB36A3" w:rsidRPr="00B6052B">
        <w:rPr>
          <w:bCs/>
          <w:sz w:val="28"/>
          <w:szCs w:val="28"/>
        </w:rPr>
        <w:t>2019 г. № 655 «О бюджете Соликамского городского округа на 2020</w:t>
      </w:r>
      <w:r w:rsidR="00BB36A3" w:rsidRPr="00ED0883">
        <w:rPr>
          <w:bCs/>
          <w:sz w:val="28"/>
          <w:szCs w:val="28"/>
        </w:rPr>
        <w:t xml:space="preserve"> год и плановый период 2021 и 2022 годов»</w:t>
      </w:r>
      <w:r w:rsidR="00BB36A3">
        <w:rPr>
          <w:bCs/>
          <w:sz w:val="28"/>
          <w:szCs w:val="28"/>
        </w:rPr>
        <w:t>.</w:t>
      </w:r>
      <w:r w:rsidR="00BB36A3">
        <w:rPr>
          <w:sz w:val="28"/>
          <w:szCs w:val="28"/>
          <w:highlight w:val="yellow"/>
        </w:rPr>
        <w:t xml:space="preserve">  </w:t>
      </w:r>
    </w:p>
    <w:p w:rsidR="0050699D" w:rsidRDefault="0050699D" w:rsidP="00651789">
      <w:pPr>
        <w:spacing w:line="360" w:lineRule="exact"/>
        <w:jc w:val="both"/>
        <w:rPr>
          <w:sz w:val="28"/>
          <w:szCs w:val="28"/>
        </w:rPr>
      </w:pPr>
      <w:r>
        <w:rPr>
          <w:sz w:val="28"/>
          <w:szCs w:val="28"/>
        </w:rPr>
        <w:tab/>
      </w:r>
    </w:p>
    <w:p w:rsidR="00A34286" w:rsidRDefault="0050699D" w:rsidP="00486806">
      <w:pPr>
        <w:spacing w:line="360" w:lineRule="exact"/>
        <w:jc w:val="both"/>
        <w:rPr>
          <w:b/>
          <w:sz w:val="28"/>
          <w:szCs w:val="28"/>
          <w:u w:val="single"/>
        </w:rPr>
      </w:pPr>
      <w:r>
        <w:rPr>
          <w:sz w:val="28"/>
          <w:szCs w:val="28"/>
        </w:rPr>
        <w:tab/>
      </w:r>
      <w:r w:rsidR="00A34286" w:rsidRPr="00A34286">
        <w:rPr>
          <w:b/>
          <w:sz w:val="28"/>
          <w:szCs w:val="28"/>
          <w:u w:val="single"/>
        </w:rPr>
        <w:t>Замечания:</w:t>
      </w:r>
    </w:p>
    <w:p w:rsidR="00A34286" w:rsidRDefault="00A34286" w:rsidP="003C72B7">
      <w:pPr>
        <w:pStyle w:val="a5"/>
        <w:numPr>
          <w:ilvl w:val="0"/>
          <w:numId w:val="25"/>
        </w:numPr>
        <w:spacing w:line="360" w:lineRule="exact"/>
        <w:ind w:left="0" w:firstLine="360"/>
        <w:jc w:val="both"/>
        <w:rPr>
          <w:b/>
          <w:sz w:val="28"/>
          <w:szCs w:val="28"/>
          <w:u w:val="single"/>
        </w:rPr>
      </w:pPr>
      <w:r w:rsidRPr="00A34286">
        <w:rPr>
          <w:sz w:val="28"/>
          <w:szCs w:val="28"/>
        </w:rPr>
        <w:t>В приложении №</w:t>
      </w:r>
      <w:r w:rsidR="00C60AFB">
        <w:rPr>
          <w:sz w:val="28"/>
          <w:szCs w:val="28"/>
        </w:rPr>
        <w:t xml:space="preserve"> </w:t>
      </w:r>
      <w:r w:rsidRPr="00A34286">
        <w:rPr>
          <w:sz w:val="28"/>
          <w:szCs w:val="28"/>
        </w:rPr>
        <w:t>3 к проекту решения итоговая сумма бюджетных ассигнований по расходам на 2021 год не соответствует аналогичному показателю в приложении №4 к проекту решения. Необходимо устранить ошибку технического характера.</w:t>
      </w:r>
    </w:p>
    <w:p w:rsidR="00F7706D" w:rsidRDefault="00A34286" w:rsidP="003C72B7">
      <w:pPr>
        <w:pStyle w:val="a5"/>
        <w:spacing w:line="360" w:lineRule="exact"/>
        <w:ind w:left="0" w:firstLine="360"/>
        <w:jc w:val="both"/>
        <w:rPr>
          <w:sz w:val="28"/>
          <w:szCs w:val="28"/>
        </w:rPr>
      </w:pPr>
      <w:r w:rsidRPr="00A34286">
        <w:rPr>
          <w:sz w:val="28"/>
          <w:szCs w:val="28"/>
        </w:rPr>
        <w:lastRenderedPageBreak/>
        <w:t>В тексте настоящего экспертного заключения анализировались достоверные показатели по расходам.</w:t>
      </w:r>
    </w:p>
    <w:p w:rsidR="00F7706D" w:rsidRPr="00F7706D" w:rsidRDefault="00F7706D" w:rsidP="003C72B7">
      <w:pPr>
        <w:pStyle w:val="a5"/>
        <w:numPr>
          <w:ilvl w:val="0"/>
          <w:numId w:val="25"/>
        </w:numPr>
        <w:spacing w:line="360" w:lineRule="exact"/>
        <w:ind w:left="0" w:firstLine="360"/>
        <w:jc w:val="both"/>
        <w:rPr>
          <w:b/>
          <w:sz w:val="28"/>
          <w:szCs w:val="28"/>
          <w:u w:val="single"/>
        </w:rPr>
      </w:pPr>
      <w:r w:rsidRPr="00F7706D">
        <w:rPr>
          <w:sz w:val="28"/>
          <w:szCs w:val="28"/>
        </w:rPr>
        <w:t xml:space="preserve">Пунктом 4 ст. 69.2 Бюджетного кодекса Российской Федерации определено, что порядок финансового обеспечения выполнения муниципального задания устанавливается местной администрацией. </w:t>
      </w:r>
    </w:p>
    <w:p w:rsidR="00F7706D" w:rsidRPr="00F7706D" w:rsidRDefault="00F7706D" w:rsidP="003C72B7">
      <w:pPr>
        <w:spacing w:line="360" w:lineRule="exact"/>
        <w:ind w:firstLine="709"/>
        <w:jc w:val="both"/>
        <w:rPr>
          <w:sz w:val="28"/>
          <w:szCs w:val="28"/>
        </w:rPr>
      </w:pPr>
      <w:r w:rsidRPr="00F7706D">
        <w:rPr>
          <w:sz w:val="28"/>
          <w:szCs w:val="28"/>
        </w:rPr>
        <w:t>На территории СГО постановлением администрации г. Соликамска от 18.01.2018 г. № 52-па утверждено Положение о порядке формирования муниципального задания на оказание муниципальных услуг (выполнение работ) в отношении муниципальных учреждений СГО и финансовом обеспечении выполнения муниципального задания (далее – Положение). Пунктом 3.4. Положения установлено, что значения нормативных затрат на оказание муниципальной услуги утверждаются в отношении муниципальных учреждений главным распорядителем бюджетных средств. В  соответствии с п. 3.7 при определении базового норматива затрат применяются нормы, утвержденные правилами, стандартами, порядками и регламентами оказания муниципальных услуг в установленной сфере.</w:t>
      </w:r>
    </w:p>
    <w:p w:rsidR="00F7706D" w:rsidRDefault="00F7706D" w:rsidP="003C72B7">
      <w:pPr>
        <w:spacing w:line="360" w:lineRule="exact"/>
        <w:ind w:firstLine="709"/>
        <w:jc w:val="both"/>
        <w:rPr>
          <w:sz w:val="28"/>
          <w:szCs w:val="28"/>
        </w:rPr>
      </w:pPr>
      <w:r w:rsidRPr="00F7706D">
        <w:rPr>
          <w:sz w:val="28"/>
          <w:szCs w:val="28"/>
        </w:rPr>
        <w:t>Методики расчета нормативных затрат на оказание муниципальных услуг, а также нормативных затрат на содержание имущества для МБУ ЦОТО и МБУ «УРСИИ» не разработан</w:t>
      </w:r>
      <w:r w:rsidR="00ED03C3">
        <w:rPr>
          <w:sz w:val="28"/>
          <w:szCs w:val="28"/>
        </w:rPr>
        <w:t>ы</w:t>
      </w:r>
      <w:r w:rsidRPr="00F7706D">
        <w:rPr>
          <w:sz w:val="28"/>
          <w:szCs w:val="28"/>
        </w:rPr>
        <w:t>. Субсиди</w:t>
      </w:r>
      <w:r w:rsidR="008C4ECD">
        <w:rPr>
          <w:sz w:val="28"/>
          <w:szCs w:val="28"/>
        </w:rPr>
        <w:t>и</w:t>
      </w:r>
      <w:r w:rsidRPr="00F7706D">
        <w:rPr>
          <w:sz w:val="28"/>
          <w:szCs w:val="28"/>
        </w:rPr>
        <w:t xml:space="preserve"> на выполнение муниципальн</w:t>
      </w:r>
      <w:r w:rsidR="008C4ECD">
        <w:rPr>
          <w:sz w:val="28"/>
          <w:szCs w:val="28"/>
        </w:rPr>
        <w:t>ых</w:t>
      </w:r>
      <w:r w:rsidRPr="00F7706D">
        <w:rPr>
          <w:sz w:val="28"/>
          <w:szCs w:val="28"/>
        </w:rPr>
        <w:t xml:space="preserve"> задани</w:t>
      </w:r>
      <w:r w:rsidR="008C4ECD">
        <w:rPr>
          <w:sz w:val="28"/>
          <w:szCs w:val="28"/>
        </w:rPr>
        <w:t>й указанных учреждений</w:t>
      </w:r>
      <w:r w:rsidRPr="00F7706D">
        <w:rPr>
          <w:sz w:val="28"/>
          <w:szCs w:val="28"/>
        </w:rPr>
        <w:t xml:space="preserve"> рассчитан</w:t>
      </w:r>
      <w:r w:rsidR="008C4ECD">
        <w:rPr>
          <w:sz w:val="28"/>
          <w:szCs w:val="28"/>
        </w:rPr>
        <w:t>ы</w:t>
      </w:r>
      <w:r w:rsidRPr="00F7706D">
        <w:rPr>
          <w:sz w:val="28"/>
          <w:szCs w:val="28"/>
        </w:rPr>
        <w:t xml:space="preserve"> в отсутствие нормативных затрат. </w:t>
      </w:r>
    </w:p>
    <w:p w:rsidR="008C4ECD" w:rsidRPr="00F7706D" w:rsidRDefault="00941551" w:rsidP="003C72B7">
      <w:pPr>
        <w:spacing w:line="360" w:lineRule="exact"/>
        <w:ind w:firstLine="709"/>
        <w:jc w:val="both"/>
        <w:rPr>
          <w:sz w:val="28"/>
          <w:szCs w:val="28"/>
        </w:rPr>
      </w:pPr>
      <w:r>
        <w:rPr>
          <w:sz w:val="28"/>
          <w:szCs w:val="28"/>
        </w:rPr>
        <w:t>Э</w:t>
      </w:r>
      <w:r w:rsidR="008C4ECD">
        <w:rPr>
          <w:sz w:val="28"/>
          <w:szCs w:val="28"/>
        </w:rPr>
        <w:t xml:space="preserve">то является </w:t>
      </w:r>
      <w:r>
        <w:rPr>
          <w:sz w:val="28"/>
          <w:szCs w:val="28"/>
        </w:rPr>
        <w:t xml:space="preserve">также </w:t>
      </w:r>
      <w:r w:rsidR="008C4ECD" w:rsidRPr="008C4ECD">
        <w:rPr>
          <w:sz w:val="28"/>
          <w:szCs w:val="28"/>
        </w:rPr>
        <w:t>не соблюден</w:t>
      </w:r>
      <w:r w:rsidR="008C4ECD">
        <w:rPr>
          <w:sz w:val="28"/>
          <w:szCs w:val="28"/>
        </w:rPr>
        <w:t>ием</w:t>
      </w:r>
      <w:r w:rsidR="008C4ECD" w:rsidRPr="008C4ECD">
        <w:rPr>
          <w:sz w:val="28"/>
          <w:szCs w:val="28"/>
        </w:rPr>
        <w:t xml:space="preserve"> нормы</w:t>
      </w:r>
      <w:r w:rsidR="008C4ECD" w:rsidRPr="00F7706D">
        <w:rPr>
          <w:sz w:val="28"/>
          <w:szCs w:val="28"/>
        </w:rPr>
        <w:t xml:space="preserve"> п.2.1.8.7 Методики планирования ассигнований СГО на 2021год и плановый период 2022-2023 годов, утвержденной приказом Финансового управления администрации </w:t>
      </w:r>
      <w:r w:rsidR="00E872F0">
        <w:rPr>
          <w:sz w:val="28"/>
          <w:szCs w:val="28"/>
        </w:rPr>
        <w:t>СГО</w:t>
      </w:r>
      <w:r w:rsidR="008C4ECD" w:rsidRPr="00F7706D">
        <w:rPr>
          <w:sz w:val="28"/>
          <w:szCs w:val="28"/>
        </w:rPr>
        <w:t xml:space="preserve"> от 28.09.2020 № СЭД-153-013-01-01-27</w:t>
      </w:r>
      <w:r w:rsidR="00621D61">
        <w:rPr>
          <w:sz w:val="28"/>
          <w:szCs w:val="28"/>
        </w:rPr>
        <w:t>.</w:t>
      </w:r>
      <w:r w:rsidR="008C4ECD" w:rsidRPr="00F7706D">
        <w:rPr>
          <w:sz w:val="28"/>
          <w:szCs w:val="28"/>
        </w:rPr>
        <w:t xml:space="preserve"> </w:t>
      </w:r>
    </w:p>
    <w:p w:rsidR="00F7706D" w:rsidRPr="00F7706D" w:rsidRDefault="00F7706D" w:rsidP="003C72B7">
      <w:pPr>
        <w:spacing w:line="360" w:lineRule="exact"/>
        <w:ind w:firstLine="709"/>
        <w:jc w:val="both"/>
        <w:rPr>
          <w:sz w:val="28"/>
          <w:szCs w:val="28"/>
        </w:rPr>
      </w:pPr>
      <w:proofErr w:type="gramStart"/>
      <w:r w:rsidRPr="00F7706D">
        <w:rPr>
          <w:sz w:val="28"/>
          <w:szCs w:val="28"/>
        </w:rPr>
        <w:t xml:space="preserve">В соответствии с  п. 1.2.47 «Классификатора нарушений, выявляемых в ходе внешнего государственного аудита (контроля)» (одобрен Советом контрольно-счетных органов при Счетной палате Российской Федерации 17 декабря 2014 г.) </w:t>
      </w:r>
      <w:r w:rsidR="00765072">
        <w:rPr>
          <w:sz w:val="28"/>
          <w:szCs w:val="28"/>
        </w:rPr>
        <w:t>–</w:t>
      </w:r>
      <w:r w:rsidRPr="00F7706D">
        <w:rPr>
          <w:sz w:val="28"/>
          <w:szCs w:val="28"/>
        </w:rPr>
        <w:t xml:space="preserve"> </w:t>
      </w:r>
      <w:r w:rsidR="00621D61">
        <w:rPr>
          <w:sz w:val="28"/>
          <w:szCs w:val="28"/>
        </w:rPr>
        <w:t>установлено</w:t>
      </w:r>
      <w:r w:rsidRPr="00F7706D">
        <w:rPr>
          <w:sz w:val="28"/>
          <w:szCs w:val="28"/>
        </w:rPr>
        <w:t xml:space="preserve"> нарушение порядка формирования и (или)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государственными (муниципальными) учреждениями. </w:t>
      </w:r>
      <w:proofErr w:type="gramEnd"/>
    </w:p>
    <w:p w:rsidR="00F7706D" w:rsidRPr="00F7706D" w:rsidRDefault="00F7706D" w:rsidP="003C72B7">
      <w:pPr>
        <w:spacing w:line="360" w:lineRule="exact"/>
        <w:ind w:firstLine="709"/>
        <w:jc w:val="both"/>
        <w:rPr>
          <w:sz w:val="28"/>
          <w:szCs w:val="28"/>
        </w:rPr>
      </w:pPr>
      <w:r w:rsidRPr="00F7706D">
        <w:rPr>
          <w:sz w:val="28"/>
          <w:szCs w:val="28"/>
        </w:rPr>
        <w:t>Вышеперечисленные нарушения влекут наложение административного штрафа в соответствии со статьей 15.15.15 КоАП РФ на должностных лиц в размере от десяти тысяч до тридцати тысяч рублей.</w:t>
      </w:r>
    </w:p>
    <w:p w:rsidR="00A34286" w:rsidRDefault="00A34286" w:rsidP="003C72B7">
      <w:pPr>
        <w:pStyle w:val="a5"/>
        <w:spacing w:line="360" w:lineRule="exact"/>
        <w:ind w:left="0"/>
        <w:jc w:val="both"/>
        <w:rPr>
          <w:sz w:val="28"/>
          <w:szCs w:val="28"/>
        </w:rPr>
      </w:pPr>
      <w:r>
        <w:rPr>
          <w:sz w:val="28"/>
          <w:szCs w:val="28"/>
        </w:rPr>
        <w:tab/>
        <w:t xml:space="preserve">  </w:t>
      </w:r>
      <w:r w:rsidR="00621D61" w:rsidRPr="00F7706D">
        <w:rPr>
          <w:sz w:val="28"/>
          <w:szCs w:val="28"/>
        </w:rPr>
        <w:t xml:space="preserve">Необходимо разработать и утвердить соответствующие </w:t>
      </w:r>
      <w:r w:rsidR="00621D61">
        <w:rPr>
          <w:sz w:val="28"/>
          <w:szCs w:val="28"/>
        </w:rPr>
        <w:t>Методики</w:t>
      </w:r>
      <w:r w:rsidR="00621D61" w:rsidRPr="00F7706D">
        <w:rPr>
          <w:sz w:val="28"/>
          <w:szCs w:val="28"/>
        </w:rPr>
        <w:t>.</w:t>
      </w:r>
    </w:p>
    <w:p w:rsidR="00C60AFB" w:rsidRDefault="00C60AFB" w:rsidP="003C72B7">
      <w:pPr>
        <w:spacing w:line="360" w:lineRule="exact"/>
        <w:jc w:val="both"/>
        <w:rPr>
          <w:b/>
          <w:sz w:val="28"/>
          <w:szCs w:val="28"/>
          <w:u w:val="single"/>
        </w:rPr>
      </w:pPr>
      <w:bookmarkStart w:id="0" w:name="_GoBack"/>
      <w:bookmarkEnd w:id="0"/>
    </w:p>
    <w:p w:rsidR="00C60AFB" w:rsidRPr="003F058E" w:rsidRDefault="00C60AFB" w:rsidP="003C72B7">
      <w:pPr>
        <w:spacing w:line="360" w:lineRule="exact"/>
        <w:jc w:val="both"/>
        <w:rPr>
          <w:sz w:val="28"/>
          <w:szCs w:val="28"/>
        </w:rPr>
      </w:pPr>
      <w:r w:rsidRPr="004C4870">
        <w:rPr>
          <w:b/>
          <w:sz w:val="28"/>
          <w:szCs w:val="28"/>
          <w:u w:val="single"/>
        </w:rPr>
        <w:t>Рекомендовано Администрации Соликамского городского округа</w:t>
      </w:r>
      <w:r w:rsidRPr="003F058E">
        <w:rPr>
          <w:sz w:val="28"/>
          <w:szCs w:val="28"/>
        </w:rPr>
        <w:t>:</w:t>
      </w:r>
    </w:p>
    <w:p w:rsidR="00C60AFB" w:rsidRDefault="00F7706D" w:rsidP="003C72B7">
      <w:pPr>
        <w:pStyle w:val="a5"/>
        <w:numPr>
          <w:ilvl w:val="0"/>
          <w:numId w:val="18"/>
        </w:numPr>
        <w:spacing w:line="360" w:lineRule="exact"/>
        <w:jc w:val="both"/>
        <w:rPr>
          <w:sz w:val="28"/>
          <w:szCs w:val="28"/>
        </w:rPr>
      </w:pPr>
      <w:r>
        <w:rPr>
          <w:sz w:val="28"/>
          <w:szCs w:val="28"/>
        </w:rPr>
        <w:t>п</w:t>
      </w:r>
      <w:r w:rsidRPr="00F7706D">
        <w:rPr>
          <w:sz w:val="28"/>
          <w:szCs w:val="28"/>
        </w:rPr>
        <w:t>ункт 24.9 текстовой части проекта решения доработать с учетом замечаний</w:t>
      </w:r>
      <w:r>
        <w:rPr>
          <w:sz w:val="28"/>
          <w:szCs w:val="28"/>
        </w:rPr>
        <w:t>, отмеченных по тексту заключения</w:t>
      </w:r>
      <w:r w:rsidRPr="00F7706D">
        <w:rPr>
          <w:sz w:val="28"/>
          <w:szCs w:val="28"/>
        </w:rPr>
        <w:t>.</w:t>
      </w:r>
    </w:p>
    <w:p w:rsidR="00C60AFB" w:rsidRDefault="00C60AFB" w:rsidP="003C72B7">
      <w:pPr>
        <w:pStyle w:val="a5"/>
        <w:numPr>
          <w:ilvl w:val="0"/>
          <w:numId w:val="18"/>
        </w:numPr>
        <w:spacing w:line="360" w:lineRule="exact"/>
        <w:jc w:val="both"/>
        <w:rPr>
          <w:sz w:val="28"/>
          <w:szCs w:val="28"/>
        </w:rPr>
      </w:pPr>
      <w:r w:rsidRPr="00047711">
        <w:rPr>
          <w:sz w:val="28"/>
          <w:szCs w:val="28"/>
        </w:rPr>
        <w:lastRenderedPageBreak/>
        <w:t>до принятия проекта бюджета внести изменения в муниципальную программу «Развитие системы образования Соликамского городского округа»</w:t>
      </w:r>
      <w:r w:rsidRPr="003F058E">
        <w:rPr>
          <w:sz w:val="28"/>
          <w:szCs w:val="28"/>
        </w:rPr>
        <w:t>;</w:t>
      </w:r>
    </w:p>
    <w:p w:rsidR="00C60AFB" w:rsidRDefault="00C60AFB" w:rsidP="003C72B7">
      <w:pPr>
        <w:pStyle w:val="a5"/>
        <w:numPr>
          <w:ilvl w:val="0"/>
          <w:numId w:val="18"/>
        </w:numPr>
        <w:spacing w:line="360" w:lineRule="exact"/>
        <w:jc w:val="both"/>
        <w:rPr>
          <w:sz w:val="28"/>
          <w:szCs w:val="28"/>
        </w:rPr>
      </w:pPr>
      <w:r>
        <w:rPr>
          <w:sz w:val="28"/>
          <w:szCs w:val="28"/>
        </w:rPr>
        <w:t xml:space="preserve">устранить ошибку технического характера в приложении № 3 к проекту решения. </w:t>
      </w:r>
    </w:p>
    <w:p w:rsidR="00621D61" w:rsidRPr="00C2269B" w:rsidRDefault="00621D61" w:rsidP="003C72B7">
      <w:pPr>
        <w:pStyle w:val="a5"/>
        <w:numPr>
          <w:ilvl w:val="0"/>
          <w:numId w:val="18"/>
        </w:numPr>
        <w:spacing w:line="360" w:lineRule="exact"/>
        <w:jc w:val="both"/>
        <w:rPr>
          <w:sz w:val="28"/>
          <w:szCs w:val="28"/>
        </w:rPr>
      </w:pPr>
      <w:r>
        <w:rPr>
          <w:sz w:val="28"/>
          <w:szCs w:val="28"/>
        </w:rPr>
        <w:t>р</w:t>
      </w:r>
      <w:r w:rsidRPr="00621D61">
        <w:rPr>
          <w:sz w:val="28"/>
          <w:szCs w:val="28"/>
        </w:rPr>
        <w:t>азработать методик</w:t>
      </w:r>
      <w:r>
        <w:rPr>
          <w:sz w:val="28"/>
          <w:szCs w:val="28"/>
        </w:rPr>
        <w:t>и</w:t>
      </w:r>
      <w:r w:rsidRPr="00621D61">
        <w:rPr>
          <w:sz w:val="28"/>
          <w:szCs w:val="28"/>
        </w:rPr>
        <w:t xml:space="preserve"> расчета нормативных затрат на оказание муниципальн</w:t>
      </w:r>
      <w:r>
        <w:rPr>
          <w:sz w:val="28"/>
          <w:szCs w:val="28"/>
        </w:rPr>
        <w:t>ых</w:t>
      </w:r>
      <w:r w:rsidRPr="00621D61">
        <w:rPr>
          <w:sz w:val="28"/>
          <w:szCs w:val="28"/>
        </w:rPr>
        <w:t xml:space="preserve"> услуг, а также нормативных затрат на содержание имущества для МБУ ЦОТО</w:t>
      </w:r>
      <w:r>
        <w:rPr>
          <w:sz w:val="28"/>
          <w:szCs w:val="28"/>
        </w:rPr>
        <w:t xml:space="preserve"> и МБУ «УРСИИ».</w:t>
      </w:r>
    </w:p>
    <w:p w:rsidR="00C60AFB" w:rsidRPr="003F058E" w:rsidRDefault="00C60AFB" w:rsidP="003C72B7">
      <w:pPr>
        <w:pStyle w:val="a5"/>
        <w:spacing w:line="360" w:lineRule="exact"/>
        <w:jc w:val="both"/>
        <w:rPr>
          <w:sz w:val="28"/>
          <w:szCs w:val="28"/>
        </w:rPr>
      </w:pPr>
    </w:p>
    <w:p w:rsidR="005D6B24" w:rsidRDefault="005D6B24" w:rsidP="00047711">
      <w:pPr>
        <w:spacing w:line="360" w:lineRule="exact"/>
        <w:ind w:firstLine="709"/>
        <w:jc w:val="both"/>
        <w:rPr>
          <w:b/>
          <w:i/>
          <w:sz w:val="28"/>
          <w:szCs w:val="28"/>
          <w:u w:val="single"/>
        </w:rPr>
      </w:pPr>
    </w:p>
    <w:p w:rsidR="005D6B24" w:rsidRDefault="005D6B24" w:rsidP="00047711">
      <w:pPr>
        <w:spacing w:line="360" w:lineRule="exact"/>
        <w:ind w:firstLine="709"/>
        <w:jc w:val="both"/>
        <w:rPr>
          <w:b/>
          <w:i/>
          <w:sz w:val="28"/>
          <w:szCs w:val="28"/>
          <w:u w:val="single"/>
        </w:rPr>
      </w:pPr>
    </w:p>
    <w:p w:rsidR="00CE3C93" w:rsidRPr="00083119" w:rsidRDefault="00CE3C93" w:rsidP="00047711">
      <w:pPr>
        <w:spacing w:line="360" w:lineRule="exact"/>
        <w:ind w:firstLine="709"/>
        <w:jc w:val="both"/>
        <w:rPr>
          <w:b/>
          <w:i/>
          <w:sz w:val="28"/>
          <w:szCs w:val="28"/>
          <w:u w:val="single"/>
        </w:rPr>
      </w:pPr>
      <w:r w:rsidRPr="00083119">
        <w:rPr>
          <w:b/>
          <w:i/>
          <w:sz w:val="28"/>
          <w:szCs w:val="28"/>
          <w:u w:val="single"/>
        </w:rPr>
        <w:t>ВЫВОД:</w:t>
      </w:r>
    </w:p>
    <w:p w:rsidR="003F058E" w:rsidRDefault="00DC1C32" w:rsidP="00047711">
      <w:pPr>
        <w:spacing w:line="360" w:lineRule="exact"/>
        <w:ind w:firstLine="709"/>
        <w:jc w:val="both"/>
        <w:rPr>
          <w:sz w:val="28"/>
          <w:szCs w:val="28"/>
        </w:rPr>
      </w:pPr>
      <w:proofErr w:type="gramStart"/>
      <w:r w:rsidRPr="00DC1C32">
        <w:rPr>
          <w:sz w:val="28"/>
          <w:szCs w:val="28"/>
        </w:rPr>
        <w:t>В целом проект бюджета Соликамского городского округа на 20</w:t>
      </w:r>
      <w:r w:rsidR="00CB2CB9">
        <w:rPr>
          <w:sz w:val="28"/>
          <w:szCs w:val="28"/>
        </w:rPr>
        <w:t>2</w:t>
      </w:r>
      <w:r w:rsidR="00047711">
        <w:rPr>
          <w:sz w:val="28"/>
          <w:szCs w:val="28"/>
        </w:rPr>
        <w:t>1</w:t>
      </w:r>
      <w:r w:rsidR="00906D05">
        <w:rPr>
          <w:sz w:val="28"/>
          <w:szCs w:val="28"/>
        </w:rPr>
        <w:t xml:space="preserve"> год и плановый период 202</w:t>
      </w:r>
      <w:r w:rsidR="00047711">
        <w:rPr>
          <w:sz w:val="28"/>
          <w:szCs w:val="28"/>
        </w:rPr>
        <w:t>2</w:t>
      </w:r>
      <w:r w:rsidRPr="00DC1C32">
        <w:rPr>
          <w:sz w:val="28"/>
          <w:szCs w:val="28"/>
        </w:rPr>
        <w:t>-20</w:t>
      </w:r>
      <w:r w:rsidR="00175F9C">
        <w:rPr>
          <w:sz w:val="28"/>
          <w:szCs w:val="28"/>
        </w:rPr>
        <w:t>2</w:t>
      </w:r>
      <w:r w:rsidR="00047711">
        <w:rPr>
          <w:sz w:val="28"/>
          <w:szCs w:val="28"/>
        </w:rPr>
        <w:t>3</w:t>
      </w:r>
      <w:r w:rsidRPr="00DC1C32">
        <w:rPr>
          <w:sz w:val="28"/>
          <w:szCs w:val="28"/>
        </w:rPr>
        <w:t xml:space="preserve"> год</w:t>
      </w:r>
      <w:r w:rsidR="006542CA">
        <w:rPr>
          <w:sz w:val="28"/>
          <w:szCs w:val="28"/>
        </w:rPr>
        <w:t>ов</w:t>
      </w:r>
      <w:r w:rsidRPr="00DC1C32">
        <w:rPr>
          <w:sz w:val="28"/>
          <w:szCs w:val="28"/>
        </w:rPr>
        <w:t xml:space="preserve"> соответству</w:t>
      </w:r>
      <w:r w:rsidR="00A67C17">
        <w:rPr>
          <w:sz w:val="28"/>
          <w:szCs w:val="28"/>
        </w:rPr>
        <w:t>е</w:t>
      </w:r>
      <w:r w:rsidRPr="00DC1C32">
        <w:rPr>
          <w:sz w:val="28"/>
          <w:szCs w:val="28"/>
        </w:rPr>
        <w:t>т целям бюджетной и налоговой  политики</w:t>
      </w:r>
      <w:r w:rsidR="006C6ADE">
        <w:rPr>
          <w:sz w:val="28"/>
          <w:szCs w:val="28"/>
        </w:rPr>
        <w:t xml:space="preserve"> </w:t>
      </w:r>
      <w:r w:rsidRPr="00DC1C32">
        <w:rPr>
          <w:sz w:val="28"/>
          <w:szCs w:val="28"/>
        </w:rPr>
        <w:t xml:space="preserve">Российской Федерации, </w:t>
      </w:r>
      <w:r w:rsidR="005B210C" w:rsidRPr="00DC1C32">
        <w:rPr>
          <w:sz w:val="28"/>
          <w:szCs w:val="28"/>
        </w:rPr>
        <w:t>Пермского края</w:t>
      </w:r>
      <w:r w:rsidR="005B210C">
        <w:rPr>
          <w:sz w:val="28"/>
          <w:szCs w:val="28"/>
        </w:rPr>
        <w:t xml:space="preserve"> и </w:t>
      </w:r>
      <w:r w:rsidR="005B210C" w:rsidRPr="00FE77A4">
        <w:rPr>
          <w:sz w:val="28"/>
          <w:szCs w:val="28"/>
        </w:rPr>
        <w:t>Соликамского городского округа</w:t>
      </w:r>
      <w:r w:rsidR="005B210C" w:rsidRPr="00DC1C32">
        <w:rPr>
          <w:sz w:val="28"/>
          <w:szCs w:val="28"/>
        </w:rPr>
        <w:t xml:space="preserve"> </w:t>
      </w:r>
      <w:r w:rsidR="00151D1D">
        <w:rPr>
          <w:sz w:val="28"/>
          <w:szCs w:val="28"/>
        </w:rPr>
        <w:t xml:space="preserve">и сформирован </w:t>
      </w:r>
      <w:r w:rsidR="002E1593" w:rsidRPr="002E1593">
        <w:rPr>
          <w:sz w:val="28"/>
          <w:szCs w:val="28"/>
        </w:rPr>
        <w:t xml:space="preserve">с учетом стратегических целей и задач, </w:t>
      </w:r>
      <w:r w:rsidR="00151D1D">
        <w:rPr>
          <w:sz w:val="28"/>
          <w:szCs w:val="28"/>
        </w:rPr>
        <w:t>определенных</w:t>
      </w:r>
      <w:r w:rsidR="002E1593" w:rsidRPr="002E1593">
        <w:rPr>
          <w:sz w:val="28"/>
          <w:szCs w:val="28"/>
        </w:rPr>
        <w:t xml:space="preserve"> </w:t>
      </w:r>
      <w:r w:rsidR="00047711" w:rsidRPr="00047711">
        <w:rPr>
          <w:sz w:val="28"/>
          <w:szCs w:val="28"/>
        </w:rPr>
        <w:t>в Указе Президента Российской Федерации 21июля 2020г. № 474 «О национальных целях развития России до 2030 года», Послании Президента РФ Федеральному Собранию РФ</w:t>
      </w:r>
      <w:proofErr w:type="gramEnd"/>
      <w:r w:rsidR="00047711" w:rsidRPr="00047711">
        <w:rPr>
          <w:sz w:val="28"/>
          <w:szCs w:val="28"/>
        </w:rPr>
        <w:t xml:space="preserve"> от 15.01.2020г.</w:t>
      </w:r>
    </w:p>
    <w:p w:rsidR="00F301E7" w:rsidRDefault="00F301E7" w:rsidP="00E722FD">
      <w:pPr>
        <w:spacing w:line="360" w:lineRule="exact"/>
        <w:ind w:firstLine="709"/>
        <w:jc w:val="both"/>
        <w:rPr>
          <w:sz w:val="28"/>
          <w:szCs w:val="28"/>
        </w:rPr>
      </w:pPr>
    </w:p>
    <w:p w:rsidR="00F0273B" w:rsidRDefault="00F0273B" w:rsidP="00047711">
      <w:pPr>
        <w:spacing w:line="360" w:lineRule="exact"/>
        <w:ind w:firstLine="709"/>
        <w:jc w:val="both"/>
        <w:rPr>
          <w:b/>
          <w:i/>
          <w:sz w:val="28"/>
          <w:szCs w:val="28"/>
        </w:rPr>
      </w:pPr>
    </w:p>
    <w:p w:rsidR="00CE3C93" w:rsidRDefault="00CE3C93" w:rsidP="00047711">
      <w:pPr>
        <w:spacing w:line="360" w:lineRule="exact"/>
        <w:ind w:firstLine="709"/>
        <w:jc w:val="both"/>
        <w:rPr>
          <w:b/>
          <w:i/>
          <w:sz w:val="28"/>
          <w:szCs w:val="28"/>
        </w:rPr>
      </w:pPr>
      <w:r w:rsidRPr="00CE3C93">
        <w:rPr>
          <w:b/>
          <w:i/>
          <w:sz w:val="28"/>
          <w:szCs w:val="28"/>
        </w:rPr>
        <w:t>Проект реш</w:t>
      </w:r>
      <w:r>
        <w:rPr>
          <w:b/>
          <w:i/>
          <w:sz w:val="28"/>
          <w:szCs w:val="28"/>
        </w:rPr>
        <w:t xml:space="preserve">ения </w:t>
      </w:r>
      <w:r w:rsidR="004143D9">
        <w:rPr>
          <w:b/>
          <w:i/>
          <w:sz w:val="28"/>
          <w:szCs w:val="28"/>
        </w:rPr>
        <w:t xml:space="preserve">Думы </w:t>
      </w:r>
      <w:r>
        <w:rPr>
          <w:b/>
          <w:i/>
          <w:sz w:val="28"/>
          <w:szCs w:val="28"/>
        </w:rPr>
        <w:t>Соликамско</w:t>
      </w:r>
      <w:r w:rsidR="004143D9">
        <w:rPr>
          <w:b/>
          <w:i/>
          <w:sz w:val="28"/>
          <w:szCs w:val="28"/>
        </w:rPr>
        <w:t>го</w:t>
      </w:r>
      <w:r>
        <w:rPr>
          <w:b/>
          <w:i/>
          <w:sz w:val="28"/>
          <w:szCs w:val="28"/>
        </w:rPr>
        <w:t xml:space="preserve"> городско</w:t>
      </w:r>
      <w:r w:rsidR="004143D9">
        <w:rPr>
          <w:b/>
          <w:i/>
          <w:sz w:val="28"/>
          <w:szCs w:val="28"/>
        </w:rPr>
        <w:t>го округа</w:t>
      </w:r>
      <w:r>
        <w:rPr>
          <w:b/>
          <w:i/>
          <w:sz w:val="28"/>
          <w:szCs w:val="28"/>
        </w:rPr>
        <w:t xml:space="preserve"> </w:t>
      </w:r>
      <w:r w:rsidRPr="00CE3C93">
        <w:rPr>
          <w:b/>
          <w:i/>
          <w:sz w:val="28"/>
          <w:szCs w:val="28"/>
        </w:rPr>
        <w:t>«О бюджете Соликамского городского округа на 20</w:t>
      </w:r>
      <w:r w:rsidR="00CB2CB9">
        <w:rPr>
          <w:b/>
          <w:i/>
          <w:sz w:val="28"/>
          <w:szCs w:val="28"/>
        </w:rPr>
        <w:t>2</w:t>
      </w:r>
      <w:r w:rsidR="00047711">
        <w:rPr>
          <w:b/>
          <w:i/>
          <w:sz w:val="28"/>
          <w:szCs w:val="28"/>
        </w:rPr>
        <w:t>1</w:t>
      </w:r>
      <w:r w:rsidR="00906D05">
        <w:rPr>
          <w:b/>
          <w:i/>
          <w:sz w:val="28"/>
          <w:szCs w:val="28"/>
        </w:rPr>
        <w:t xml:space="preserve"> год и плановый период 202</w:t>
      </w:r>
      <w:r w:rsidR="00047711">
        <w:rPr>
          <w:b/>
          <w:i/>
          <w:sz w:val="28"/>
          <w:szCs w:val="28"/>
        </w:rPr>
        <w:t>2</w:t>
      </w:r>
      <w:r w:rsidRPr="00CE3C93">
        <w:rPr>
          <w:b/>
          <w:i/>
          <w:sz w:val="28"/>
          <w:szCs w:val="28"/>
        </w:rPr>
        <w:t xml:space="preserve"> и 20</w:t>
      </w:r>
      <w:r w:rsidR="00175F9C">
        <w:rPr>
          <w:b/>
          <w:i/>
          <w:sz w:val="28"/>
          <w:szCs w:val="28"/>
        </w:rPr>
        <w:t>2</w:t>
      </w:r>
      <w:r w:rsidR="00047711">
        <w:rPr>
          <w:b/>
          <w:i/>
          <w:sz w:val="28"/>
          <w:szCs w:val="28"/>
        </w:rPr>
        <w:t>3</w:t>
      </w:r>
      <w:r w:rsidRPr="00CE3C93">
        <w:rPr>
          <w:b/>
          <w:i/>
          <w:sz w:val="28"/>
          <w:szCs w:val="28"/>
        </w:rPr>
        <w:t xml:space="preserve"> годов» - рекомендуется </w:t>
      </w:r>
      <w:r w:rsidR="004143D9">
        <w:rPr>
          <w:b/>
          <w:i/>
          <w:sz w:val="28"/>
          <w:szCs w:val="28"/>
        </w:rPr>
        <w:t xml:space="preserve">Думе </w:t>
      </w:r>
      <w:r w:rsidRPr="00CE3C93">
        <w:rPr>
          <w:b/>
          <w:i/>
          <w:sz w:val="28"/>
          <w:szCs w:val="28"/>
        </w:rPr>
        <w:t>Соликамско</w:t>
      </w:r>
      <w:r w:rsidR="004143D9">
        <w:rPr>
          <w:b/>
          <w:i/>
          <w:sz w:val="28"/>
          <w:szCs w:val="28"/>
        </w:rPr>
        <w:t>го</w:t>
      </w:r>
      <w:r w:rsidRPr="00CE3C93">
        <w:rPr>
          <w:b/>
          <w:i/>
          <w:sz w:val="28"/>
          <w:szCs w:val="28"/>
        </w:rPr>
        <w:t xml:space="preserve"> городско</w:t>
      </w:r>
      <w:r w:rsidR="004143D9">
        <w:rPr>
          <w:b/>
          <w:i/>
          <w:sz w:val="28"/>
          <w:szCs w:val="28"/>
        </w:rPr>
        <w:t>го округа</w:t>
      </w:r>
      <w:r w:rsidR="00503F23">
        <w:rPr>
          <w:b/>
          <w:i/>
          <w:sz w:val="28"/>
          <w:szCs w:val="28"/>
        </w:rPr>
        <w:t xml:space="preserve"> для </w:t>
      </w:r>
      <w:r w:rsidR="00F27F7E">
        <w:rPr>
          <w:b/>
          <w:i/>
          <w:sz w:val="28"/>
          <w:szCs w:val="28"/>
        </w:rPr>
        <w:t>рассмотрения</w:t>
      </w:r>
      <w:r w:rsidR="00503F23">
        <w:rPr>
          <w:b/>
          <w:i/>
          <w:sz w:val="28"/>
          <w:szCs w:val="28"/>
        </w:rPr>
        <w:t xml:space="preserve"> в первом чтении</w:t>
      </w:r>
      <w:r w:rsidRPr="00CE3C93">
        <w:rPr>
          <w:b/>
          <w:i/>
          <w:sz w:val="28"/>
          <w:szCs w:val="28"/>
        </w:rPr>
        <w:t>.</w:t>
      </w:r>
    </w:p>
    <w:p w:rsidR="00083119" w:rsidRDefault="00083119" w:rsidP="00C85BAF">
      <w:pPr>
        <w:spacing w:line="360" w:lineRule="exact"/>
        <w:jc w:val="both"/>
        <w:rPr>
          <w:sz w:val="28"/>
          <w:szCs w:val="28"/>
        </w:rPr>
      </w:pPr>
    </w:p>
    <w:p w:rsidR="00BE090B" w:rsidRDefault="00BE090B" w:rsidP="00C85BAF">
      <w:pPr>
        <w:spacing w:line="360" w:lineRule="exact"/>
        <w:jc w:val="both"/>
        <w:rPr>
          <w:sz w:val="28"/>
          <w:szCs w:val="28"/>
        </w:rPr>
      </w:pPr>
    </w:p>
    <w:p w:rsidR="00CE3C93" w:rsidRPr="00CE3C93" w:rsidRDefault="00333AEF" w:rsidP="00C85BAF">
      <w:pPr>
        <w:spacing w:line="360" w:lineRule="exact"/>
        <w:jc w:val="both"/>
        <w:rPr>
          <w:sz w:val="28"/>
          <w:szCs w:val="28"/>
        </w:rPr>
      </w:pPr>
      <w:r>
        <w:rPr>
          <w:sz w:val="28"/>
          <w:szCs w:val="28"/>
        </w:rPr>
        <w:t>П</w:t>
      </w:r>
      <w:r w:rsidR="00CE3C93" w:rsidRPr="00CE3C93">
        <w:rPr>
          <w:sz w:val="28"/>
          <w:szCs w:val="28"/>
        </w:rPr>
        <w:t>редседател</w:t>
      </w:r>
      <w:r>
        <w:rPr>
          <w:sz w:val="28"/>
          <w:szCs w:val="28"/>
        </w:rPr>
        <w:t>ь</w:t>
      </w:r>
      <w:r w:rsidR="00CE3C93" w:rsidRPr="00CE3C93">
        <w:rPr>
          <w:sz w:val="28"/>
          <w:szCs w:val="28"/>
        </w:rPr>
        <w:t xml:space="preserve"> </w:t>
      </w:r>
    </w:p>
    <w:p w:rsidR="00CE3C93" w:rsidRPr="00CE3C93" w:rsidRDefault="00CE3C93" w:rsidP="00C85BAF">
      <w:pPr>
        <w:spacing w:line="360" w:lineRule="exact"/>
        <w:jc w:val="both"/>
        <w:rPr>
          <w:sz w:val="28"/>
          <w:szCs w:val="28"/>
        </w:rPr>
      </w:pPr>
      <w:r w:rsidRPr="00CE3C93">
        <w:rPr>
          <w:sz w:val="28"/>
          <w:szCs w:val="28"/>
        </w:rPr>
        <w:t xml:space="preserve">Контрольно-счетной палаты </w:t>
      </w:r>
    </w:p>
    <w:p w:rsidR="008D7F95" w:rsidRDefault="00CE3C93" w:rsidP="00C85BAF">
      <w:pPr>
        <w:spacing w:line="360" w:lineRule="exact"/>
        <w:jc w:val="both"/>
        <w:rPr>
          <w:sz w:val="28"/>
          <w:szCs w:val="28"/>
        </w:rPr>
      </w:pPr>
      <w:r w:rsidRPr="00CE3C93">
        <w:rPr>
          <w:sz w:val="28"/>
          <w:szCs w:val="28"/>
        </w:rPr>
        <w:t xml:space="preserve">Соликамского городского округа           </w:t>
      </w:r>
      <w:r w:rsidR="00543AA4">
        <w:rPr>
          <w:sz w:val="28"/>
          <w:szCs w:val="28"/>
        </w:rPr>
        <w:t xml:space="preserve">        </w:t>
      </w:r>
      <w:r w:rsidRPr="00CE3C93">
        <w:rPr>
          <w:sz w:val="28"/>
          <w:szCs w:val="28"/>
        </w:rPr>
        <w:t xml:space="preserve">     </w:t>
      </w:r>
      <w:r w:rsidR="00ED09CE">
        <w:rPr>
          <w:sz w:val="28"/>
          <w:szCs w:val="28"/>
        </w:rPr>
        <w:t xml:space="preserve">      </w:t>
      </w:r>
      <w:r w:rsidRPr="00CE3C93">
        <w:rPr>
          <w:sz w:val="28"/>
          <w:szCs w:val="28"/>
        </w:rPr>
        <w:t xml:space="preserve">                                </w:t>
      </w:r>
      <w:r w:rsidR="00333AEF">
        <w:rPr>
          <w:sz w:val="28"/>
          <w:szCs w:val="28"/>
        </w:rPr>
        <w:t>И.Н. Баженов</w:t>
      </w:r>
    </w:p>
    <w:p w:rsidR="00DB2647" w:rsidRPr="008D7F95" w:rsidRDefault="00DB2647" w:rsidP="00C85BAF">
      <w:pPr>
        <w:spacing w:line="360" w:lineRule="exact"/>
        <w:jc w:val="both"/>
      </w:pPr>
    </w:p>
    <w:sectPr w:rsidR="00DB2647" w:rsidRPr="008D7F95" w:rsidSect="00FD650D">
      <w:headerReference w:type="default" r:id="rId17"/>
      <w:footerReference w:type="default" r:id="rId18"/>
      <w:pgSz w:w="11906" w:h="16838"/>
      <w:pgMar w:top="680" w:right="567" w:bottom="68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097" w:rsidRDefault="008E7097" w:rsidP="002B6880">
      <w:r>
        <w:separator/>
      </w:r>
    </w:p>
  </w:endnote>
  <w:endnote w:type="continuationSeparator" w:id="0">
    <w:p w:rsidR="008E7097" w:rsidRDefault="008E7097" w:rsidP="002B6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3256309"/>
      <w:docPartObj>
        <w:docPartGallery w:val="Page Numbers (Bottom of Page)"/>
        <w:docPartUnique/>
      </w:docPartObj>
    </w:sdtPr>
    <w:sdtEndPr/>
    <w:sdtContent>
      <w:p w:rsidR="00627A3A" w:rsidRDefault="00627A3A">
        <w:pPr>
          <w:pStyle w:val="a9"/>
          <w:jc w:val="right"/>
        </w:pPr>
        <w:r>
          <w:fldChar w:fldCharType="begin"/>
        </w:r>
        <w:r>
          <w:instrText>PAGE   \* MERGEFORMAT</w:instrText>
        </w:r>
        <w:r>
          <w:fldChar w:fldCharType="separate"/>
        </w:r>
        <w:r w:rsidR="00E815CD">
          <w:rPr>
            <w:noProof/>
          </w:rPr>
          <w:t>26</w:t>
        </w:r>
        <w:r>
          <w:fldChar w:fldCharType="end"/>
        </w:r>
      </w:p>
    </w:sdtContent>
  </w:sdt>
  <w:p w:rsidR="00627A3A" w:rsidRDefault="00627A3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097" w:rsidRDefault="008E7097" w:rsidP="002B6880">
      <w:r>
        <w:separator/>
      </w:r>
    </w:p>
  </w:footnote>
  <w:footnote w:type="continuationSeparator" w:id="0">
    <w:p w:rsidR="008E7097" w:rsidRDefault="008E7097" w:rsidP="002B68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A3A" w:rsidRDefault="00627A3A">
    <w:pPr>
      <w:pStyle w:val="a7"/>
      <w:jc w:val="right"/>
    </w:pPr>
  </w:p>
  <w:p w:rsidR="00627A3A" w:rsidRDefault="00627A3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479A"/>
    <w:multiLevelType w:val="hybridMultilevel"/>
    <w:tmpl w:val="518E0F2C"/>
    <w:lvl w:ilvl="0" w:tplc="42AE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F40B0"/>
    <w:multiLevelType w:val="hybridMultilevel"/>
    <w:tmpl w:val="D3C24B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7E3CD0"/>
    <w:multiLevelType w:val="hybridMultilevel"/>
    <w:tmpl w:val="DB087E28"/>
    <w:lvl w:ilvl="0" w:tplc="42AE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6323A4"/>
    <w:multiLevelType w:val="hybridMultilevel"/>
    <w:tmpl w:val="97B0AD06"/>
    <w:lvl w:ilvl="0" w:tplc="507AD11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F1016"/>
    <w:multiLevelType w:val="hybridMultilevel"/>
    <w:tmpl w:val="52CCB9A6"/>
    <w:lvl w:ilvl="0" w:tplc="BF7A58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D5714"/>
    <w:multiLevelType w:val="hybridMultilevel"/>
    <w:tmpl w:val="C9F66CA2"/>
    <w:lvl w:ilvl="0" w:tplc="42AE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5C4D46"/>
    <w:multiLevelType w:val="hybridMultilevel"/>
    <w:tmpl w:val="0108093E"/>
    <w:lvl w:ilvl="0" w:tplc="42AE9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EE0BC9"/>
    <w:multiLevelType w:val="hybridMultilevel"/>
    <w:tmpl w:val="AD02CA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C06546"/>
    <w:multiLevelType w:val="hybridMultilevel"/>
    <w:tmpl w:val="DFB854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0C4584"/>
    <w:multiLevelType w:val="hybridMultilevel"/>
    <w:tmpl w:val="DA50CBBA"/>
    <w:lvl w:ilvl="0" w:tplc="42AE9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BD4575"/>
    <w:multiLevelType w:val="hybridMultilevel"/>
    <w:tmpl w:val="A260C1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920694"/>
    <w:multiLevelType w:val="hybridMultilevel"/>
    <w:tmpl w:val="FC141B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3F4753F"/>
    <w:multiLevelType w:val="hybridMultilevel"/>
    <w:tmpl w:val="9DCE5120"/>
    <w:lvl w:ilvl="0" w:tplc="C8A2A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39421E"/>
    <w:multiLevelType w:val="hybridMultilevel"/>
    <w:tmpl w:val="7BFAB81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9B81697"/>
    <w:multiLevelType w:val="hybridMultilevel"/>
    <w:tmpl w:val="914EE9EA"/>
    <w:lvl w:ilvl="0" w:tplc="42AE9F6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421C5C2A"/>
    <w:multiLevelType w:val="hybridMultilevel"/>
    <w:tmpl w:val="22AA5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4614D7"/>
    <w:multiLevelType w:val="hybridMultilevel"/>
    <w:tmpl w:val="D1D2EEE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556C60EB"/>
    <w:multiLevelType w:val="hybridMultilevel"/>
    <w:tmpl w:val="D9DA37F0"/>
    <w:lvl w:ilvl="0" w:tplc="E05E31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7046D8F"/>
    <w:multiLevelType w:val="hybridMultilevel"/>
    <w:tmpl w:val="CAD601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A373E16"/>
    <w:multiLevelType w:val="hybridMultilevel"/>
    <w:tmpl w:val="3440D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ADF294C"/>
    <w:multiLevelType w:val="hybridMultilevel"/>
    <w:tmpl w:val="10DC33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nsid w:val="7145254E"/>
    <w:multiLevelType w:val="hybridMultilevel"/>
    <w:tmpl w:val="F4F4E25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2ED50DB"/>
    <w:multiLevelType w:val="hybridMultilevel"/>
    <w:tmpl w:val="3110C006"/>
    <w:lvl w:ilvl="0" w:tplc="42AE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CB3ECD"/>
    <w:multiLevelType w:val="hybridMultilevel"/>
    <w:tmpl w:val="A0BE0FA8"/>
    <w:lvl w:ilvl="0" w:tplc="F7204E6E">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9B5616D"/>
    <w:multiLevelType w:val="hybridMultilevel"/>
    <w:tmpl w:val="D04C9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61280E"/>
    <w:multiLevelType w:val="hybridMultilevel"/>
    <w:tmpl w:val="ADBEC9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5"/>
  </w:num>
  <w:num w:numId="3">
    <w:abstractNumId w:val="23"/>
  </w:num>
  <w:num w:numId="4">
    <w:abstractNumId w:val="6"/>
  </w:num>
  <w:num w:numId="5">
    <w:abstractNumId w:val="0"/>
  </w:num>
  <w:num w:numId="6">
    <w:abstractNumId w:val="2"/>
  </w:num>
  <w:num w:numId="7">
    <w:abstractNumId w:val="13"/>
  </w:num>
  <w:num w:numId="8">
    <w:abstractNumId w:val="18"/>
  </w:num>
  <w:num w:numId="9">
    <w:abstractNumId w:val="7"/>
  </w:num>
  <w:num w:numId="10">
    <w:abstractNumId w:val="1"/>
  </w:num>
  <w:num w:numId="11">
    <w:abstractNumId w:val="21"/>
  </w:num>
  <w:num w:numId="12">
    <w:abstractNumId w:val="11"/>
  </w:num>
  <w:num w:numId="13">
    <w:abstractNumId w:val="17"/>
  </w:num>
  <w:num w:numId="14">
    <w:abstractNumId w:val="9"/>
  </w:num>
  <w:num w:numId="15">
    <w:abstractNumId w:val="14"/>
  </w:num>
  <w:num w:numId="16">
    <w:abstractNumId w:val="22"/>
  </w:num>
  <w:num w:numId="17">
    <w:abstractNumId w:val="19"/>
  </w:num>
  <w:num w:numId="18">
    <w:abstractNumId w:val="10"/>
  </w:num>
  <w:num w:numId="19">
    <w:abstractNumId w:val="20"/>
  </w:num>
  <w:num w:numId="20">
    <w:abstractNumId w:val="3"/>
  </w:num>
  <w:num w:numId="21">
    <w:abstractNumId w:val="24"/>
  </w:num>
  <w:num w:numId="22">
    <w:abstractNumId w:val="12"/>
  </w:num>
  <w:num w:numId="23">
    <w:abstractNumId w:val="8"/>
  </w:num>
  <w:num w:numId="24">
    <w:abstractNumId w:val="25"/>
  </w:num>
  <w:num w:numId="25">
    <w:abstractNumId w:val="4"/>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143"/>
    <w:rsid w:val="00000963"/>
    <w:rsid w:val="00000975"/>
    <w:rsid w:val="000018D8"/>
    <w:rsid w:val="00003446"/>
    <w:rsid w:val="000034EF"/>
    <w:rsid w:val="00003569"/>
    <w:rsid w:val="00004836"/>
    <w:rsid w:val="00005291"/>
    <w:rsid w:val="000055CC"/>
    <w:rsid w:val="00005F79"/>
    <w:rsid w:val="000060CE"/>
    <w:rsid w:val="00006378"/>
    <w:rsid w:val="00007DE5"/>
    <w:rsid w:val="00011CCD"/>
    <w:rsid w:val="00012DEE"/>
    <w:rsid w:val="00012F85"/>
    <w:rsid w:val="00015107"/>
    <w:rsid w:val="000156B3"/>
    <w:rsid w:val="00016103"/>
    <w:rsid w:val="000162A6"/>
    <w:rsid w:val="000163D4"/>
    <w:rsid w:val="000204B3"/>
    <w:rsid w:val="00020753"/>
    <w:rsid w:val="00021F69"/>
    <w:rsid w:val="0002381F"/>
    <w:rsid w:val="00025336"/>
    <w:rsid w:val="00025CAA"/>
    <w:rsid w:val="0002621D"/>
    <w:rsid w:val="00031B1D"/>
    <w:rsid w:val="00031EE1"/>
    <w:rsid w:val="0003240C"/>
    <w:rsid w:val="0003404B"/>
    <w:rsid w:val="00036817"/>
    <w:rsid w:val="00036CE8"/>
    <w:rsid w:val="00037025"/>
    <w:rsid w:val="0004001D"/>
    <w:rsid w:val="000400A4"/>
    <w:rsid w:val="00040D0D"/>
    <w:rsid w:val="0004256E"/>
    <w:rsid w:val="000431EE"/>
    <w:rsid w:val="00043410"/>
    <w:rsid w:val="000435AB"/>
    <w:rsid w:val="00043A49"/>
    <w:rsid w:val="00046BC8"/>
    <w:rsid w:val="00047401"/>
    <w:rsid w:val="00047711"/>
    <w:rsid w:val="00050857"/>
    <w:rsid w:val="000525E7"/>
    <w:rsid w:val="000539A1"/>
    <w:rsid w:val="0005508C"/>
    <w:rsid w:val="000579E3"/>
    <w:rsid w:val="00057C98"/>
    <w:rsid w:val="00061213"/>
    <w:rsid w:val="00062173"/>
    <w:rsid w:val="00062637"/>
    <w:rsid w:val="00066277"/>
    <w:rsid w:val="000667D9"/>
    <w:rsid w:val="000669BE"/>
    <w:rsid w:val="00067B8E"/>
    <w:rsid w:val="00071349"/>
    <w:rsid w:val="00072BC3"/>
    <w:rsid w:val="000732B2"/>
    <w:rsid w:val="00075969"/>
    <w:rsid w:val="00075CDF"/>
    <w:rsid w:val="000770DE"/>
    <w:rsid w:val="0007748D"/>
    <w:rsid w:val="00077E58"/>
    <w:rsid w:val="00080362"/>
    <w:rsid w:val="00083119"/>
    <w:rsid w:val="00085FFF"/>
    <w:rsid w:val="00087BE5"/>
    <w:rsid w:val="0009175D"/>
    <w:rsid w:val="000927BE"/>
    <w:rsid w:val="00092D76"/>
    <w:rsid w:val="0009317E"/>
    <w:rsid w:val="00093FAE"/>
    <w:rsid w:val="000967CE"/>
    <w:rsid w:val="00096985"/>
    <w:rsid w:val="000A070D"/>
    <w:rsid w:val="000A1C5F"/>
    <w:rsid w:val="000A210C"/>
    <w:rsid w:val="000A2DCC"/>
    <w:rsid w:val="000A4813"/>
    <w:rsid w:val="000A4FC1"/>
    <w:rsid w:val="000A54A6"/>
    <w:rsid w:val="000A5C48"/>
    <w:rsid w:val="000A62E6"/>
    <w:rsid w:val="000A6329"/>
    <w:rsid w:val="000A6E7F"/>
    <w:rsid w:val="000A7B5D"/>
    <w:rsid w:val="000B130A"/>
    <w:rsid w:val="000B150A"/>
    <w:rsid w:val="000B15AF"/>
    <w:rsid w:val="000B1829"/>
    <w:rsid w:val="000B18E8"/>
    <w:rsid w:val="000B1934"/>
    <w:rsid w:val="000B37EF"/>
    <w:rsid w:val="000B48F0"/>
    <w:rsid w:val="000B5CCA"/>
    <w:rsid w:val="000B6288"/>
    <w:rsid w:val="000B6543"/>
    <w:rsid w:val="000B6DBB"/>
    <w:rsid w:val="000B76A8"/>
    <w:rsid w:val="000C06D2"/>
    <w:rsid w:val="000C19E3"/>
    <w:rsid w:val="000C1E8A"/>
    <w:rsid w:val="000C21B3"/>
    <w:rsid w:val="000C253E"/>
    <w:rsid w:val="000C2F0A"/>
    <w:rsid w:val="000C373F"/>
    <w:rsid w:val="000C3ADA"/>
    <w:rsid w:val="000C5CFC"/>
    <w:rsid w:val="000C5DD8"/>
    <w:rsid w:val="000C6C34"/>
    <w:rsid w:val="000C7219"/>
    <w:rsid w:val="000C79C9"/>
    <w:rsid w:val="000D066B"/>
    <w:rsid w:val="000D1680"/>
    <w:rsid w:val="000D249B"/>
    <w:rsid w:val="000D26EC"/>
    <w:rsid w:val="000D33E5"/>
    <w:rsid w:val="000D4744"/>
    <w:rsid w:val="000D5E71"/>
    <w:rsid w:val="000D6A10"/>
    <w:rsid w:val="000D7E93"/>
    <w:rsid w:val="000E1175"/>
    <w:rsid w:val="000E1D3B"/>
    <w:rsid w:val="000E41EB"/>
    <w:rsid w:val="000E5FD1"/>
    <w:rsid w:val="000E6945"/>
    <w:rsid w:val="000E69E9"/>
    <w:rsid w:val="000E73A9"/>
    <w:rsid w:val="000E73B0"/>
    <w:rsid w:val="000F09AF"/>
    <w:rsid w:val="000F2AE4"/>
    <w:rsid w:val="000F3EC0"/>
    <w:rsid w:val="000F4A2A"/>
    <w:rsid w:val="000F4EC9"/>
    <w:rsid w:val="000F6E6E"/>
    <w:rsid w:val="000F746E"/>
    <w:rsid w:val="00101631"/>
    <w:rsid w:val="00101A30"/>
    <w:rsid w:val="00101BEB"/>
    <w:rsid w:val="00105455"/>
    <w:rsid w:val="00105AB2"/>
    <w:rsid w:val="001075AB"/>
    <w:rsid w:val="00107EF8"/>
    <w:rsid w:val="001103B0"/>
    <w:rsid w:val="00110762"/>
    <w:rsid w:val="00110821"/>
    <w:rsid w:val="00111373"/>
    <w:rsid w:val="0011253E"/>
    <w:rsid w:val="00112F33"/>
    <w:rsid w:val="00113DA7"/>
    <w:rsid w:val="0011412A"/>
    <w:rsid w:val="00116C01"/>
    <w:rsid w:val="00116C1F"/>
    <w:rsid w:val="0011707C"/>
    <w:rsid w:val="00117353"/>
    <w:rsid w:val="00117743"/>
    <w:rsid w:val="00120A73"/>
    <w:rsid w:val="00123697"/>
    <w:rsid w:val="00123CDB"/>
    <w:rsid w:val="00124E20"/>
    <w:rsid w:val="0012617F"/>
    <w:rsid w:val="00126AF6"/>
    <w:rsid w:val="00126C31"/>
    <w:rsid w:val="001279AF"/>
    <w:rsid w:val="001303C9"/>
    <w:rsid w:val="0013180E"/>
    <w:rsid w:val="00134987"/>
    <w:rsid w:val="00134EB0"/>
    <w:rsid w:val="001407F8"/>
    <w:rsid w:val="0014195C"/>
    <w:rsid w:val="00143666"/>
    <w:rsid w:val="001449DC"/>
    <w:rsid w:val="001469F1"/>
    <w:rsid w:val="00150CBE"/>
    <w:rsid w:val="001511B1"/>
    <w:rsid w:val="001513E4"/>
    <w:rsid w:val="00151D1C"/>
    <w:rsid w:val="00151D1D"/>
    <w:rsid w:val="00152F89"/>
    <w:rsid w:val="00153528"/>
    <w:rsid w:val="00153573"/>
    <w:rsid w:val="00153B94"/>
    <w:rsid w:val="00153E45"/>
    <w:rsid w:val="0015528E"/>
    <w:rsid w:val="00155352"/>
    <w:rsid w:val="00155D6D"/>
    <w:rsid w:val="0015793E"/>
    <w:rsid w:val="00157F73"/>
    <w:rsid w:val="00160156"/>
    <w:rsid w:val="00162C7E"/>
    <w:rsid w:val="0016535E"/>
    <w:rsid w:val="00167691"/>
    <w:rsid w:val="00167A3B"/>
    <w:rsid w:val="001704F9"/>
    <w:rsid w:val="00171402"/>
    <w:rsid w:val="00172058"/>
    <w:rsid w:val="001720DD"/>
    <w:rsid w:val="001725A4"/>
    <w:rsid w:val="00172A78"/>
    <w:rsid w:val="00172FF9"/>
    <w:rsid w:val="00175AE9"/>
    <w:rsid w:val="00175F9C"/>
    <w:rsid w:val="001762A9"/>
    <w:rsid w:val="00176793"/>
    <w:rsid w:val="00185246"/>
    <w:rsid w:val="00185B3E"/>
    <w:rsid w:val="00185C27"/>
    <w:rsid w:val="00185FBC"/>
    <w:rsid w:val="001867DB"/>
    <w:rsid w:val="001905E1"/>
    <w:rsid w:val="0019115B"/>
    <w:rsid w:val="001922C4"/>
    <w:rsid w:val="001941D3"/>
    <w:rsid w:val="001977EB"/>
    <w:rsid w:val="00197D69"/>
    <w:rsid w:val="001A04F2"/>
    <w:rsid w:val="001A15D9"/>
    <w:rsid w:val="001A1B4A"/>
    <w:rsid w:val="001A248B"/>
    <w:rsid w:val="001A264E"/>
    <w:rsid w:val="001A4BA6"/>
    <w:rsid w:val="001A6257"/>
    <w:rsid w:val="001A6B86"/>
    <w:rsid w:val="001A7295"/>
    <w:rsid w:val="001B0040"/>
    <w:rsid w:val="001B0D92"/>
    <w:rsid w:val="001B19BE"/>
    <w:rsid w:val="001B3879"/>
    <w:rsid w:val="001B3E70"/>
    <w:rsid w:val="001B61EE"/>
    <w:rsid w:val="001B7E35"/>
    <w:rsid w:val="001C0888"/>
    <w:rsid w:val="001C1A1F"/>
    <w:rsid w:val="001C1A8F"/>
    <w:rsid w:val="001C1BE3"/>
    <w:rsid w:val="001C2499"/>
    <w:rsid w:val="001C4DA7"/>
    <w:rsid w:val="001C4E71"/>
    <w:rsid w:val="001C6BDB"/>
    <w:rsid w:val="001C7BB7"/>
    <w:rsid w:val="001C7C18"/>
    <w:rsid w:val="001D01B4"/>
    <w:rsid w:val="001D4786"/>
    <w:rsid w:val="001D4C87"/>
    <w:rsid w:val="001D4D5E"/>
    <w:rsid w:val="001D7118"/>
    <w:rsid w:val="001D79E9"/>
    <w:rsid w:val="001E0073"/>
    <w:rsid w:val="001E0DCD"/>
    <w:rsid w:val="001E203F"/>
    <w:rsid w:val="001E2445"/>
    <w:rsid w:val="001E2683"/>
    <w:rsid w:val="001E4639"/>
    <w:rsid w:val="001E49AE"/>
    <w:rsid w:val="001E6852"/>
    <w:rsid w:val="001E729F"/>
    <w:rsid w:val="001E73DD"/>
    <w:rsid w:val="001F0668"/>
    <w:rsid w:val="001F23DE"/>
    <w:rsid w:val="001F25B9"/>
    <w:rsid w:val="001F2DBD"/>
    <w:rsid w:val="001F360E"/>
    <w:rsid w:val="001F3DEE"/>
    <w:rsid w:val="001F4279"/>
    <w:rsid w:val="001F4795"/>
    <w:rsid w:val="001F5353"/>
    <w:rsid w:val="001F7D38"/>
    <w:rsid w:val="002017BB"/>
    <w:rsid w:val="00202F26"/>
    <w:rsid w:val="0020395A"/>
    <w:rsid w:val="00204BF8"/>
    <w:rsid w:val="0020600F"/>
    <w:rsid w:val="0020694E"/>
    <w:rsid w:val="00206CF8"/>
    <w:rsid w:val="00206F26"/>
    <w:rsid w:val="00207667"/>
    <w:rsid w:val="00207DEA"/>
    <w:rsid w:val="0021014B"/>
    <w:rsid w:val="00211E36"/>
    <w:rsid w:val="0021312B"/>
    <w:rsid w:val="00213150"/>
    <w:rsid w:val="00213DC7"/>
    <w:rsid w:val="002151CB"/>
    <w:rsid w:val="00215736"/>
    <w:rsid w:val="00215C63"/>
    <w:rsid w:val="00216136"/>
    <w:rsid w:val="00216665"/>
    <w:rsid w:val="002166BE"/>
    <w:rsid w:val="0021738D"/>
    <w:rsid w:val="00217823"/>
    <w:rsid w:val="00217A88"/>
    <w:rsid w:val="0022031A"/>
    <w:rsid w:val="00220636"/>
    <w:rsid w:val="00220D50"/>
    <w:rsid w:val="00221F19"/>
    <w:rsid w:val="002228DE"/>
    <w:rsid w:val="00224875"/>
    <w:rsid w:val="00226225"/>
    <w:rsid w:val="00226DC1"/>
    <w:rsid w:val="0023354F"/>
    <w:rsid w:val="00233B55"/>
    <w:rsid w:val="0023451E"/>
    <w:rsid w:val="00234EFE"/>
    <w:rsid w:val="002371FA"/>
    <w:rsid w:val="00237C06"/>
    <w:rsid w:val="00240ADA"/>
    <w:rsid w:val="00240AF4"/>
    <w:rsid w:val="002417A6"/>
    <w:rsid w:val="0024281B"/>
    <w:rsid w:val="00242BD5"/>
    <w:rsid w:val="00247383"/>
    <w:rsid w:val="002475E7"/>
    <w:rsid w:val="00250786"/>
    <w:rsid w:val="00251544"/>
    <w:rsid w:val="0025195F"/>
    <w:rsid w:val="00253E9B"/>
    <w:rsid w:val="00255180"/>
    <w:rsid w:val="002554F4"/>
    <w:rsid w:val="00255790"/>
    <w:rsid w:val="00255D6D"/>
    <w:rsid w:val="0025662A"/>
    <w:rsid w:val="002608ED"/>
    <w:rsid w:val="00261381"/>
    <w:rsid w:val="002621D6"/>
    <w:rsid w:val="00263A58"/>
    <w:rsid w:val="00263E99"/>
    <w:rsid w:val="002646DE"/>
    <w:rsid w:val="002654F5"/>
    <w:rsid w:val="0026716F"/>
    <w:rsid w:val="00270EDB"/>
    <w:rsid w:val="00271A1A"/>
    <w:rsid w:val="002720B6"/>
    <w:rsid w:val="00272419"/>
    <w:rsid w:val="0027440E"/>
    <w:rsid w:val="00274649"/>
    <w:rsid w:val="002766F6"/>
    <w:rsid w:val="00277663"/>
    <w:rsid w:val="00277C27"/>
    <w:rsid w:val="0028046F"/>
    <w:rsid w:val="00280A7D"/>
    <w:rsid w:val="00280B8D"/>
    <w:rsid w:val="00280D06"/>
    <w:rsid w:val="0028202D"/>
    <w:rsid w:val="00282136"/>
    <w:rsid w:val="00283EF2"/>
    <w:rsid w:val="002853FA"/>
    <w:rsid w:val="00285B28"/>
    <w:rsid w:val="00285B46"/>
    <w:rsid w:val="002867D1"/>
    <w:rsid w:val="00290A7E"/>
    <w:rsid w:val="002925B2"/>
    <w:rsid w:val="00292714"/>
    <w:rsid w:val="0029389E"/>
    <w:rsid w:val="00296C25"/>
    <w:rsid w:val="00297959"/>
    <w:rsid w:val="002A049A"/>
    <w:rsid w:val="002A0665"/>
    <w:rsid w:val="002A2088"/>
    <w:rsid w:val="002A3890"/>
    <w:rsid w:val="002A530C"/>
    <w:rsid w:val="002A5F4A"/>
    <w:rsid w:val="002A6718"/>
    <w:rsid w:val="002A69A3"/>
    <w:rsid w:val="002A6D4C"/>
    <w:rsid w:val="002B0817"/>
    <w:rsid w:val="002B38E5"/>
    <w:rsid w:val="002B391B"/>
    <w:rsid w:val="002B58CC"/>
    <w:rsid w:val="002B6880"/>
    <w:rsid w:val="002B6950"/>
    <w:rsid w:val="002C001C"/>
    <w:rsid w:val="002C26CB"/>
    <w:rsid w:val="002C2A28"/>
    <w:rsid w:val="002C3279"/>
    <w:rsid w:val="002C5DE5"/>
    <w:rsid w:val="002C6315"/>
    <w:rsid w:val="002C6FED"/>
    <w:rsid w:val="002C7B0E"/>
    <w:rsid w:val="002C7D1A"/>
    <w:rsid w:val="002D014A"/>
    <w:rsid w:val="002D0846"/>
    <w:rsid w:val="002D1140"/>
    <w:rsid w:val="002D1F82"/>
    <w:rsid w:val="002D1FDF"/>
    <w:rsid w:val="002D247F"/>
    <w:rsid w:val="002D4358"/>
    <w:rsid w:val="002D5263"/>
    <w:rsid w:val="002D5DA1"/>
    <w:rsid w:val="002D74B0"/>
    <w:rsid w:val="002E1593"/>
    <w:rsid w:val="002E1602"/>
    <w:rsid w:val="002E2196"/>
    <w:rsid w:val="002E3704"/>
    <w:rsid w:val="002E48AC"/>
    <w:rsid w:val="002E4E8D"/>
    <w:rsid w:val="002E538D"/>
    <w:rsid w:val="002E5D58"/>
    <w:rsid w:val="002E6446"/>
    <w:rsid w:val="002F1713"/>
    <w:rsid w:val="002F2DEC"/>
    <w:rsid w:val="002F33F3"/>
    <w:rsid w:val="002F3705"/>
    <w:rsid w:val="002F4235"/>
    <w:rsid w:val="002F43E0"/>
    <w:rsid w:val="002F4995"/>
    <w:rsid w:val="002F4D88"/>
    <w:rsid w:val="002F79D2"/>
    <w:rsid w:val="00300948"/>
    <w:rsid w:val="00300D18"/>
    <w:rsid w:val="003012AD"/>
    <w:rsid w:val="003031F6"/>
    <w:rsid w:val="00304601"/>
    <w:rsid w:val="003047A9"/>
    <w:rsid w:val="00304D20"/>
    <w:rsid w:val="00305410"/>
    <w:rsid w:val="003059DA"/>
    <w:rsid w:val="00306085"/>
    <w:rsid w:val="0030651F"/>
    <w:rsid w:val="003069A2"/>
    <w:rsid w:val="00312FD8"/>
    <w:rsid w:val="00314917"/>
    <w:rsid w:val="003157D8"/>
    <w:rsid w:val="0031685F"/>
    <w:rsid w:val="00316ACE"/>
    <w:rsid w:val="003203F8"/>
    <w:rsid w:val="00320D6B"/>
    <w:rsid w:val="00323CD2"/>
    <w:rsid w:val="00325BF4"/>
    <w:rsid w:val="0032625D"/>
    <w:rsid w:val="003273DB"/>
    <w:rsid w:val="00331C7B"/>
    <w:rsid w:val="00333470"/>
    <w:rsid w:val="00333AEF"/>
    <w:rsid w:val="00334847"/>
    <w:rsid w:val="00337383"/>
    <w:rsid w:val="003377DC"/>
    <w:rsid w:val="00337886"/>
    <w:rsid w:val="00337D15"/>
    <w:rsid w:val="003404FE"/>
    <w:rsid w:val="00342CD9"/>
    <w:rsid w:val="00343507"/>
    <w:rsid w:val="00343D05"/>
    <w:rsid w:val="003503BE"/>
    <w:rsid w:val="00351CB1"/>
    <w:rsid w:val="00352644"/>
    <w:rsid w:val="00352E87"/>
    <w:rsid w:val="0035466A"/>
    <w:rsid w:val="00355F5B"/>
    <w:rsid w:val="003565D2"/>
    <w:rsid w:val="00356AFF"/>
    <w:rsid w:val="0035711E"/>
    <w:rsid w:val="0036189B"/>
    <w:rsid w:val="003621B7"/>
    <w:rsid w:val="0036393B"/>
    <w:rsid w:val="00364E6F"/>
    <w:rsid w:val="0036772F"/>
    <w:rsid w:val="00370C21"/>
    <w:rsid w:val="00371426"/>
    <w:rsid w:val="00372602"/>
    <w:rsid w:val="00374430"/>
    <w:rsid w:val="003749F7"/>
    <w:rsid w:val="00374B39"/>
    <w:rsid w:val="00375E5E"/>
    <w:rsid w:val="00377CB6"/>
    <w:rsid w:val="003826A1"/>
    <w:rsid w:val="003833B1"/>
    <w:rsid w:val="00383A5A"/>
    <w:rsid w:val="00384177"/>
    <w:rsid w:val="00384646"/>
    <w:rsid w:val="003849B0"/>
    <w:rsid w:val="00386660"/>
    <w:rsid w:val="003874B0"/>
    <w:rsid w:val="00387D51"/>
    <w:rsid w:val="00390823"/>
    <w:rsid w:val="003925DF"/>
    <w:rsid w:val="003926E0"/>
    <w:rsid w:val="003927CB"/>
    <w:rsid w:val="00392B3A"/>
    <w:rsid w:val="00392BC9"/>
    <w:rsid w:val="003933B8"/>
    <w:rsid w:val="00395A73"/>
    <w:rsid w:val="0039651C"/>
    <w:rsid w:val="003A134D"/>
    <w:rsid w:val="003A1F10"/>
    <w:rsid w:val="003A3160"/>
    <w:rsid w:val="003A344C"/>
    <w:rsid w:val="003A34AD"/>
    <w:rsid w:val="003A36DA"/>
    <w:rsid w:val="003A383E"/>
    <w:rsid w:val="003A3A1C"/>
    <w:rsid w:val="003A41D4"/>
    <w:rsid w:val="003A45A0"/>
    <w:rsid w:val="003A4A17"/>
    <w:rsid w:val="003A4F17"/>
    <w:rsid w:val="003A51BD"/>
    <w:rsid w:val="003A5D3A"/>
    <w:rsid w:val="003A5F0B"/>
    <w:rsid w:val="003A67BC"/>
    <w:rsid w:val="003A7AB2"/>
    <w:rsid w:val="003B02DD"/>
    <w:rsid w:val="003B1272"/>
    <w:rsid w:val="003B373A"/>
    <w:rsid w:val="003B3781"/>
    <w:rsid w:val="003B39A8"/>
    <w:rsid w:val="003B51E8"/>
    <w:rsid w:val="003C22F9"/>
    <w:rsid w:val="003C26A6"/>
    <w:rsid w:val="003C3095"/>
    <w:rsid w:val="003C3939"/>
    <w:rsid w:val="003C42B0"/>
    <w:rsid w:val="003C6071"/>
    <w:rsid w:val="003C692B"/>
    <w:rsid w:val="003C6FB4"/>
    <w:rsid w:val="003C72B7"/>
    <w:rsid w:val="003D04D0"/>
    <w:rsid w:val="003D1D42"/>
    <w:rsid w:val="003D2A50"/>
    <w:rsid w:val="003D6557"/>
    <w:rsid w:val="003E13DC"/>
    <w:rsid w:val="003E1D59"/>
    <w:rsid w:val="003E33FD"/>
    <w:rsid w:val="003E3EAC"/>
    <w:rsid w:val="003E42FA"/>
    <w:rsid w:val="003E4687"/>
    <w:rsid w:val="003E4964"/>
    <w:rsid w:val="003E54ED"/>
    <w:rsid w:val="003E687A"/>
    <w:rsid w:val="003E7338"/>
    <w:rsid w:val="003F058E"/>
    <w:rsid w:val="003F19EC"/>
    <w:rsid w:val="003F1F1D"/>
    <w:rsid w:val="003F2478"/>
    <w:rsid w:val="003F3577"/>
    <w:rsid w:val="003F51FF"/>
    <w:rsid w:val="003F7420"/>
    <w:rsid w:val="00400FEF"/>
    <w:rsid w:val="00401527"/>
    <w:rsid w:val="004033DB"/>
    <w:rsid w:val="00403BE4"/>
    <w:rsid w:val="00404012"/>
    <w:rsid w:val="0040439D"/>
    <w:rsid w:val="00404A35"/>
    <w:rsid w:val="00404B9E"/>
    <w:rsid w:val="00405252"/>
    <w:rsid w:val="00407495"/>
    <w:rsid w:val="00410984"/>
    <w:rsid w:val="00412464"/>
    <w:rsid w:val="00413A54"/>
    <w:rsid w:val="004143D9"/>
    <w:rsid w:val="00414F7D"/>
    <w:rsid w:val="00416082"/>
    <w:rsid w:val="0041644A"/>
    <w:rsid w:val="004167DA"/>
    <w:rsid w:val="00416E09"/>
    <w:rsid w:val="0041741B"/>
    <w:rsid w:val="00417A81"/>
    <w:rsid w:val="004203A3"/>
    <w:rsid w:val="004203DB"/>
    <w:rsid w:val="004206D7"/>
    <w:rsid w:val="004233C6"/>
    <w:rsid w:val="00423CF6"/>
    <w:rsid w:val="0042418C"/>
    <w:rsid w:val="00424A85"/>
    <w:rsid w:val="004253D8"/>
    <w:rsid w:val="004309A3"/>
    <w:rsid w:val="00431232"/>
    <w:rsid w:val="0043142D"/>
    <w:rsid w:val="00432CAB"/>
    <w:rsid w:val="00432F01"/>
    <w:rsid w:val="004336E1"/>
    <w:rsid w:val="00433BFA"/>
    <w:rsid w:val="004373F0"/>
    <w:rsid w:val="004375DC"/>
    <w:rsid w:val="00440394"/>
    <w:rsid w:val="004405F4"/>
    <w:rsid w:val="00440964"/>
    <w:rsid w:val="004416BA"/>
    <w:rsid w:val="00442BEE"/>
    <w:rsid w:val="00442E1C"/>
    <w:rsid w:val="004439FC"/>
    <w:rsid w:val="00443DBD"/>
    <w:rsid w:val="00444A6F"/>
    <w:rsid w:val="0044531C"/>
    <w:rsid w:val="00446F1A"/>
    <w:rsid w:val="00447CEE"/>
    <w:rsid w:val="00450190"/>
    <w:rsid w:val="00450857"/>
    <w:rsid w:val="004514E2"/>
    <w:rsid w:val="00451FCC"/>
    <w:rsid w:val="00452612"/>
    <w:rsid w:val="00452D24"/>
    <w:rsid w:val="004530F6"/>
    <w:rsid w:val="00457CD4"/>
    <w:rsid w:val="00461EEB"/>
    <w:rsid w:val="00463115"/>
    <w:rsid w:val="00463BF2"/>
    <w:rsid w:val="00463C66"/>
    <w:rsid w:val="00464563"/>
    <w:rsid w:val="00464C7C"/>
    <w:rsid w:val="00465C7F"/>
    <w:rsid w:val="00467166"/>
    <w:rsid w:val="00470B89"/>
    <w:rsid w:val="00470D1B"/>
    <w:rsid w:val="00471F1C"/>
    <w:rsid w:val="004742A7"/>
    <w:rsid w:val="004754F9"/>
    <w:rsid w:val="004770BE"/>
    <w:rsid w:val="00480CE7"/>
    <w:rsid w:val="00482B47"/>
    <w:rsid w:val="00482CA5"/>
    <w:rsid w:val="004834BF"/>
    <w:rsid w:val="00483777"/>
    <w:rsid w:val="004846DC"/>
    <w:rsid w:val="004847B9"/>
    <w:rsid w:val="00484C66"/>
    <w:rsid w:val="00485D52"/>
    <w:rsid w:val="004862FE"/>
    <w:rsid w:val="00486806"/>
    <w:rsid w:val="00486A15"/>
    <w:rsid w:val="0048782E"/>
    <w:rsid w:val="00492988"/>
    <w:rsid w:val="00493AC8"/>
    <w:rsid w:val="00493AFA"/>
    <w:rsid w:val="004942C0"/>
    <w:rsid w:val="00496B22"/>
    <w:rsid w:val="00496D00"/>
    <w:rsid w:val="004A1753"/>
    <w:rsid w:val="004A2929"/>
    <w:rsid w:val="004A2E07"/>
    <w:rsid w:val="004A2F62"/>
    <w:rsid w:val="004A2FD4"/>
    <w:rsid w:val="004A31BE"/>
    <w:rsid w:val="004A3208"/>
    <w:rsid w:val="004A35F2"/>
    <w:rsid w:val="004A46D9"/>
    <w:rsid w:val="004A4D65"/>
    <w:rsid w:val="004A5200"/>
    <w:rsid w:val="004A53E1"/>
    <w:rsid w:val="004A7F43"/>
    <w:rsid w:val="004B1313"/>
    <w:rsid w:val="004B1CCA"/>
    <w:rsid w:val="004B29CA"/>
    <w:rsid w:val="004B3349"/>
    <w:rsid w:val="004B462D"/>
    <w:rsid w:val="004B5716"/>
    <w:rsid w:val="004B734B"/>
    <w:rsid w:val="004B7A70"/>
    <w:rsid w:val="004C0BBE"/>
    <w:rsid w:val="004C0C20"/>
    <w:rsid w:val="004C0DA2"/>
    <w:rsid w:val="004C1260"/>
    <w:rsid w:val="004C14BC"/>
    <w:rsid w:val="004C1CD2"/>
    <w:rsid w:val="004C2B01"/>
    <w:rsid w:val="004C3E73"/>
    <w:rsid w:val="004C4870"/>
    <w:rsid w:val="004C527B"/>
    <w:rsid w:val="004C5716"/>
    <w:rsid w:val="004C58AD"/>
    <w:rsid w:val="004C6F2F"/>
    <w:rsid w:val="004C7603"/>
    <w:rsid w:val="004C78FC"/>
    <w:rsid w:val="004C7D49"/>
    <w:rsid w:val="004C7DBD"/>
    <w:rsid w:val="004D01F0"/>
    <w:rsid w:val="004D0CE2"/>
    <w:rsid w:val="004D1335"/>
    <w:rsid w:val="004D3735"/>
    <w:rsid w:val="004D39C9"/>
    <w:rsid w:val="004D4CDF"/>
    <w:rsid w:val="004D517C"/>
    <w:rsid w:val="004D68BB"/>
    <w:rsid w:val="004E1742"/>
    <w:rsid w:val="004E1C31"/>
    <w:rsid w:val="004E1C4D"/>
    <w:rsid w:val="004E200E"/>
    <w:rsid w:val="004E3355"/>
    <w:rsid w:val="004E5617"/>
    <w:rsid w:val="004E7AFB"/>
    <w:rsid w:val="004F0500"/>
    <w:rsid w:val="004F2FC6"/>
    <w:rsid w:val="004F351F"/>
    <w:rsid w:val="004F40A6"/>
    <w:rsid w:val="004F4DF0"/>
    <w:rsid w:val="004F7436"/>
    <w:rsid w:val="004F7471"/>
    <w:rsid w:val="00500462"/>
    <w:rsid w:val="00500663"/>
    <w:rsid w:val="00500CE8"/>
    <w:rsid w:val="0050121C"/>
    <w:rsid w:val="00501627"/>
    <w:rsid w:val="005020A0"/>
    <w:rsid w:val="00502715"/>
    <w:rsid w:val="00502D43"/>
    <w:rsid w:val="00503F23"/>
    <w:rsid w:val="00504546"/>
    <w:rsid w:val="00504E71"/>
    <w:rsid w:val="0050604C"/>
    <w:rsid w:val="0050699D"/>
    <w:rsid w:val="005071A0"/>
    <w:rsid w:val="0050752C"/>
    <w:rsid w:val="005075C6"/>
    <w:rsid w:val="005101B5"/>
    <w:rsid w:val="00511F3B"/>
    <w:rsid w:val="00512988"/>
    <w:rsid w:val="00513B29"/>
    <w:rsid w:val="0051649B"/>
    <w:rsid w:val="0051786E"/>
    <w:rsid w:val="00517B34"/>
    <w:rsid w:val="00521286"/>
    <w:rsid w:val="00521648"/>
    <w:rsid w:val="005217FF"/>
    <w:rsid w:val="00522D5C"/>
    <w:rsid w:val="00522FF6"/>
    <w:rsid w:val="0052373C"/>
    <w:rsid w:val="00523A96"/>
    <w:rsid w:val="005275A0"/>
    <w:rsid w:val="005275AA"/>
    <w:rsid w:val="00527A08"/>
    <w:rsid w:val="005306E3"/>
    <w:rsid w:val="0053073E"/>
    <w:rsid w:val="00530B6E"/>
    <w:rsid w:val="00535122"/>
    <w:rsid w:val="005370D5"/>
    <w:rsid w:val="00541B25"/>
    <w:rsid w:val="005432ED"/>
    <w:rsid w:val="005439C3"/>
    <w:rsid w:val="00543AA4"/>
    <w:rsid w:val="00544FFC"/>
    <w:rsid w:val="0054579E"/>
    <w:rsid w:val="00546483"/>
    <w:rsid w:val="00546C85"/>
    <w:rsid w:val="0054797F"/>
    <w:rsid w:val="005479EF"/>
    <w:rsid w:val="00550526"/>
    <w:rsid w:val="00551038"/>
    <w:rsid w:val="005510A8"/>
    <w:rsid w:val="00555D2F"/>
    <w:rsid w:val="00556540"/>
    <w:rsid w:val="00556FE3"/>
    <w:rsid w:val="00557215"/>
    <w:rsid w:val="00557330"/>
    <w:rsid w:val="00557CEC"/>
    <w:rsid w:val="00560A57"/>
    <w:rsid w:val="005613C4"/>
    <w:rsid w:val="00562411"/>
    <w:rsid w:val="00563AB4"/>
    <w:rsid w:val="00565D02"/>
    <w:rsid w:val="00566DB5"/>
    <w:rsid w:val="00570693"/>
    <w:rsid w:val="005707D0"/>
    <w:rsid w:val="00571178"/>
    <w:rsid w:val="00571AFD"/>
    <w:rsid w:val="005725F6"/>
    <w:rsid w:val="00573408"/>
    <w:rsid w:val="00573CB3"/>
    <w:rsid w:val="00574379"/>
    <w:rsid w:val="005759B9"/>
    <w:rsid w:val="005801F2"/>
    <w:rsid w:val="00580738"/>
    <w:rsid w:val="00581601"/>
    <w:rsid w:val="00581F06"/>
    <w:rsid w:val="005833AF"/>
    <w:rsid w:val="00583A4A"/>
    <w:rsid w:val="00584370"/>
    <w:rsid w:val="005855BD"/>
    <w:rsid w:val="005859BA"/>
    <w:rsid w:val="00586CAD"/>
    <w:rsid w:val="00592750"/>
    <w:rsid w:val="00593F0C"/>
    <w:rsid w:val="00594C5B"/>
    <w:rsid w:val="00595234"/>
    <w:rsid w:val="005975C2"/>
    <w:rsid w:val="00597CFA"/>
    <w:rsid w:val="005A0491"/>
    <w:rsid w:val="005A14FB"/>
    <w:rsid w:val="005A37AC"/>
    <w:rsid w:val="005A3CD3"/>
    <w:rsid w:val="005A428A"/>
    <w:rsid w:val="005A4D00"/>
    <w:rsid w:val="005A5007"/>
    <w:rsid w:val="005A5A30"/>
    <w:rsid w:val="005A7539"/>
    <w:rsid w:val="005B0358"/>
    <w:rsid w:val="005B155E"/>
    <w:rsid w:val="005B210C"/>
    <w:rsid w:val="005B3256"/>
    <w:rsid w:val="005B3955"/>
    <w:rsid w:val="005B3B8A"/>
    <w:rsid w:val="005B4A48"/>
    <w:rsid w:val="005B506B"/>
    <w:rsid w:val="005B5A23"/>
    <w:rsid w:val="005B660B"/>
    <w:rsid w:val="005C013E"/>
    <w:rsid w:val="005C08B5"/>
    <w:rsid w:val="005C0C86"/>
    <w:rsid w:val="005C11AE"/>
    <w:rsid w:val="005C19E4"/>
    <w:rsid w:val="005C1ABD"/>
    <w:rsid w:val="005C1FCA"/>
    <w:rsid w:val="005C231C"/>
    <w:rsid w:val="005C2D13"/>
    <w:rsid w:val="005C388F"/>
    <w:rsid w:val="005D0E3C"/>
    <w:rsid w:val="005D1A3A"/>
    <w:rsid w:val="005D1B44"/>
    <w:rsid w:val="005D1DF1"/>
    <w:rsid w:val="005D4795"/>
    <w:rsid w:val="005D51B5"/>
    <w:rsid w:val="005D5394"/>
    <w:rsid w:val="005D54D3"/>
    <w:rsid w:val="005D5A76"/>
    <w:rsid w:val="005D606D"/>
    <w:rsid w:val="005D6B24"/>
    <w:rsid w:val="005D6FAF"/>
    <w:rsid w:val="005D6FCC"/>
    <w:rsid w:val="005E096E"/>
    <w:rsid w:val="005E10F9"/>
    <w:rsid w:val="005E22D2"/>
    <w:rsid w:val="005E2874"/>
    <w:rsid w:val="005E3CB3"/>
    <w:rsid w:val="005E4B04"/>
    <w:rsid w:val="005E4F05"/>
    <w:rsid w:val="005E6CF8"/>
    <w:rsid w:val="005F09E8"/>
    <w:rsid w:val="005F47F4"/>
    <w:rsid w:val="005F510D"/>
    <w:rsid w:val="005F5A69"/>
    <w:rsid w:val="005F5E39"/>
    <w:rsid w:val="005F6C95"/>
    <w:rsid w:val="005F7054"/>
    <w:rsid w:val="005F726D"/>
    <w:rsid w:val="0060040E"/>
    <w:rsid w:val="00602A09"/>
    <w:rsid w:val="00602FBA"/>
    <w:rsid w:val="006045A9"/>
    <w:rsid w:val="00604D6D"/>
    <w:rsid w:val="006053DE"/>
    <w:rsid w:val="006057DC"/>
    <w:rsid w:val="00605827"/>
    <w:rsid w:val="00605ABD"/>
    <w:rsid w:val="00605C78"/>
    <w:rsid w:val="00607EEB"/>
    <w:rsid w:val="006111AF"/>
    <w:rsid w:val="00611923"/>
    <w:rsid w:val="00611963"/>
    <w:rsid w:val="006133A9"/>
    <w:rsid w:val="00614F47"/>
    <w:rsid w:val="0061503C"/>
    <w:rsid w:val="00615AA6"/>
    <w:rsid w:val="00616B4A"/>
    <w:rsid w:val="00616B60"/>
    <w:rsid w:val="00621C62"/>
    <w:rsid w:val="00621D61"/>
    <w:rsid w:val="00622138"/>
    <w:rsid w:val="006232C0"/>
    <w:rsid w:val="0062522D"/>
    <w:rsid w:val="00625411"/>
    <w:rsid w:val="0062609E"/>
    <w:rsid w:val="0062641C"/>
    <w:rsid w:val="0062661C"/>
    <w:rsid w:val="00627A3A"/>
    <w:rsid w:val="00627AFA"/>
    <w:rsid w:val="006327C4"/>
    <w:rsid w:val="006338B6"/>
    <w:rsid w:val="00635939"/>
    <w:rsid w:val="00636B33"/>
    <w:rsid w:val="00640300"/>
    <w:rsid w:val="006407D8"/>
    <w:rsid w:val="0064192C"/>
    <w:rsid w:val="00642716"/>
    <w:rsid w:val="00644994"/>
    <w:rsid w:val="00644AEA"/>
    <w:rsid w:val="00644EE1"/>
    <w:rsid w:val="00645526"/>
    <w:rsid w:val="00645D3C"/>
    <w:rsid w:val="00646851"/>
    <w:rsid w:val="00647334"/>
    <w:rsid w:val="0065074B"/>
    <w:rsid w:val="00650E8C"/>
    <w:rsid w:val="00650F16"/>
    <w:rsid w:val="006513E2"/>
    <w:rsid w:val="00651789"/>
    <w:rsid w:val="00653157"/>
    <w:rsid w:val="00654259"/>
    <w:rsid w:val="006542CA"/>
    <w:rsid w:val="00654D80"/>
    <w:rsid w:val="00655262"/>
    <w:rsid w:val="0065557E"/>
    <w:rsid w:val="00656221"/>
    <w:rsid w:val="00656F77"/>
    <w:rsid w:val="006570E7"/>
    <w:rsid w:val="00657D16"/>
    <w:rsid w:val="006625B6"/>
    <w:rsid w:val="00662FA2"/>
    <w:rsid w:val="00663B97"/>
    <w:rsid w:val="00664139"/>
    <w:rsid w:val="006651A4"/>
    <w:rsid w:val="006661F7"/>
    <w:rsid w:val="0066775D"/>
    <w:rsid w:val="00670766"/>
    <w:rsid w:val="00671AD3"/>
    <w:rsid w:val="00672C86"/>
    <w:rsid w:val="00674291"/>
    <w:rsid w:val="00676756"/>
    <w:rsid w:val="006768BF"/>
    <w:rsid w:val="0068036F"/>
    <w:rsid w:val="00681B9B"/>
    <w:rsid w:val="006826F7"/>
    <w:rsid w:val="0068302E"/>
    <w:rsid w:val="00683482"/>
    <w:rsid w:val="00685080"/>
    <w:rsid w:val="006852CA"/>
    <w:rsid w:val="00686E3E"/>
    <w:rsid w:val="00690408"/>
    <w:rsid w:val="00692BD2"/>
    <w:rsid w:val="00695374"/>
    <w:rsid w:val="006A0161"/>
    <w:rsid w:val="006A0D52"/>
    <w:rsid w:val="006A3453"/>
    <w:rsid w:val="006A350F"/>
    <w:rsid w:val="006A3593"/>
    <w:rsid w:val="006A3808"/>
    <w:rsid w:val="006B0028"/>
    <w:rsid w:val="006B24E1"/>
    <w:rsid w:val="006B281F"/>
    <w:rsid w:val="006B3A68"/>
    <w:rsid w:val="006B3BAC"/>
    <w:rsid w:val="006B3D4B"/>
    <w:rsid w:val="006B47F9"/>
    <w:rsid w:val="006B4A6B"/>
    <w:rsid w:val="006B4D31"/>
    <w:rsid w:val="006B50EA"/>
    <w:rsid w:val="006B5788"/>
    <w:rsid w:val="006B7987"/>
    <w:rsid w:val="006B7AEF"/>
    <w:rsid w:val="006C146A"/>
    <w:rsid w:val="006C15B5"/>
    <w:rsid w:val="006C20DD"/>
    <w:rsid w:val="006C48E4"/>
    <w:rsid w:val="006C6664"/>
    <w:rsid w:val="006C6ADE"/>
    <w:rsid w:val="006D094D"/>
    <w:rsid w:val="006D10F5"/>
    <w:rsid w:val="006D1AC6"/>
    <w:rsid w:val="006D1AED"/>
    <w:rsid w:val="006D1B6B"/>
    <w:rsid w:val="006D1BE1"/>
    <w:rsid w:val="006D3444"/>
    <w:rsid w:val="006D4924"/>
    <w:rsid w:val="006D4A93"/>
    <w:rsid w:val="006D4EB3"/>
    <w:rsid w:val="006D53AF"/>
    <w:rsid w:val="006D559A"/>
    <w:rsid w:val="006D5982"/>
    <w:rsid w:val="006D5B5A"/>
    <w:rsid w:val="006D6470"/>
    <w:rsid w:val="006D70C0"/>
    <w:rsid w:val="006D758A"/>
    <w:rsid w:val="006E10C5"/>
    <w:rsid w:val="006E171E"/>
    <w:rsid w:val="006E18EB"/>
    <w:rsid w:val="006E214B"/>
    <w:rsid w:val="006E2641"/>
    <w:rsid w:val="006E2C8C"/>
    <w:rsid w:val="006E3D89"/>
    <w:rsid w:val="006E4933"/>
    <w:rsid w:val="006E589F"/>
    <w:rsid w:val="006E5990"/>
    <w:rsid w:val="006E68E3"/>
    <w:rsid w:val="006E6A31"/>
    <w:rsid w:val="006E74DF"/>
    <w:rsid w:val="006F0D06"/>
    <w:rsid w:val="006F0D95"/>
    <w:rsid w:val="006F0F0F"/>
    <w:rsid w:val="006F1B67"/>
    <w:rsid w:val="006F24F4"/>
    <w:rsid w:val="006F2519"/>
    <w:rsid w:val="006F3CA6"/>
    <w:rsid w:val="006F3D30"/>
    <w:rsid w:val="006F4A59"/>
    <w:rsid w:val="006F4E9C"/>
    <w:rsid w:val="006F5B59"/>
    <w:rsid w:val="006F69B7"/>
    <w:rsid w:val="006F6E71"/>
    <w:rsid w:val="006F73DF"/>
    <w:rsid w:val="006F783B"/>
    <w:rsid w:val="00700C4E"/>
    <w:rsid w:val="00701141"/>
    <w:rsid w:val="00704549"/>
    <w:rsid w:val="00704DE0"/>
    <w:rsid w:val="00704EBF"/>
    <w:rsid w:val="0070681F"/>
    <w:rsid w:val="00706E16"/>
    <w:rsid w:val="00706F69"/>
    <w:rsid w:val="00715197"/>
    <w:rsid w:val="007152C9"/>
    <w:rsid w:val="00715721"/>
    <w:rsid w:val="0071642C"/>
    <w:rsid w:val="00717005"/>
    <w:rsid w:val="0071765D"/>
    <w:rsid w:val="00717931"/>
    <w:rsid w:val="00720528"/>
    <w:rsid w:val="00720635"/>
    <w:rsid w:val="007230F8"/>
    <w:rsid w:val="00726167"/>
    <w:rsid w:val="007263AF"/>
    <w:rsid w:val="00726836"/>
    <w:rsid w:val="00726B2C"/>
    <w:rsid w:val="00726D08"/>
    <w:rsid w:val="00726EE8"/>
    <w:rsid w:val="0072741D"/>
    <w:rsid w:val="007327BE"/>
    <w:rsid w:val="00733621"/>
    <w:rsid w:val="00733C6D"/>
    <w:rsid w:val="00735BF5"/>
    <w:rsid w:val="00737ADD"/>
    <w:rsid w:val="00741A0A"/>
    <w:rsid w:val="00743C02"/>
    <w:rsid w:val="0074479C"/>
    <w:rsid w:val="00745084"/>
    <w:rsid w:val="00745C7C"/>
    <w:rsid w:val="00745E47"/>
    <w:rsid w:val="007473C1"/>
    <w:rsid w:val="00747A22"/>
    <w:rsid w:val="0075049A"/>
    <w:rsid w:val="007506F4"/>
    <w:rsid w:val="007532AA"/>
    <w:rsid w:val="00756170"/>
    <w:rsid w:val="007565C4"/>
    <w:rsid w:val="007601C7"/>
    <w:rsid w:val="0076031F"/>
    <w:rsid w:val="00762F76"/>
    <w:rsid w:val="00763CCB"/>
    <w:rsid w:val="007645A6"/>
    <w:rsid w:val="007645D3"/>
    <w:rsid w:val="00764EB1"/>
    <w:rsid w:val="00765072"/>
    <w:rsid w:val="007654F4"/>
    <w:rsid w:val="007667D4"/>
    <w:rsid w:val="00770B1A"/>
    <w:rsid w:val="00771CD4"/>
    <w:rsid w:val="007727C2"/>
    <w:rsid w:val="0077597E"/>
    <w:rsid w:val="00776948"/>
    <w:rsid w:val="007772CF"/>
    <w:rsid w:val="00780721"/>
    <w:rsid w:val="00781072"/>
    <w:rsid w:val="00781C2B"/>
    <w:rsid w:val="00784913"/>
    <w:rsid w:val="00784B6C"/>
    <w:rsid w:val="00785B9A"/>
    <w:rsid w:val="0078646C"/>
    <w:rsid w:val="00787FB3"/>
    <w:rsid w:val="007910BD"/>
    <w:rsid w:val="0079164E"/>
    <w:rsid w:val="00793B5E"/>
    <w:rsid w:val="00795429"/>
    <w:rsid w:val="00795EF3"/>
    <w:rsid w:val="007966C7"/>
    <w:rsid w:val="00797265"/>
    <w:rsid w:val="00797F25"/>
    <w:rsid w:val="007A02B6"/>
    <w:rsid w:val="007A0C71"/>
    <w:rsid w:val="007A0F2B"/>
    <w:rsid w:val="007A1552"/>
    <w:rsid w:val="007A16AE"/>
    <w:rsid w:val="007A2142"/>
    <w:rsid w:val="007A2524"/>
    <w:rsid w:val="007A5A53"/>
    <w:rsid w:val="007A5CFA"/>
    <w:rsid w:val="007A630B"/>
    <w:rsid w:val="007A66F5"/>
    <w:rsid w:val="007B0361"/>
    <w:rsid w:val="007B1348"/>
    <w:rsid w:val="007B13C0"/>
    <w:rsid w:val="007B3450"/>
    <w:rsid w:val="007B5CEF"/>
    <w:rsid w:val="007B6A49"/>
    <w:rsid w:val="007C1E18"/>
    <w:rsid w:val="007C23E8"/>
    <w:rsid w:val="007C24E9"/>
    <w:rsid w:val="007C27C7"/>
    <w:rsid w:val="007C2B7B"/>
    <w:rsid w:val="007C3111"/>
    <w:rsid w:val="007C5C9E"/>
    <w:rsid w:val="007C7615"/>
    <w:rsid w:val="007D1214"/>
    <w:rsid w:val="007D1C4E"/>
    <w:rsid w:val="007D2555"/>
    <w:rsid w:val="007D34D1"/>
    <w:rsid w:val="007D3A83"/>
    <w:rsid w:val="007D3DB3"/>
    <w:rsid w:val="007D6BAB"/>
    <w:rsid w:val="007D6F83"/>
    <w:rsid w:val="007D74AE"/>
    <w:rsid w:val="007E059D"/>
    <w:rsid w:val="007E06C3"/>
    <w:rsid w:val="007E12E8"/>
    <w:rsid w:val="007E17DE"/>
    <w:rsid w:val="007E1953"/>
    <w:rsid w:val="007E2B02"/>
    <w:rsid w:val="007E5FBD"/>
    <w:rsid w:val="007E663A"/>
    <w:rsid w:val="007E6D09"/>
    <w:rsid w:val="007E75B0"/>
    <w:rsid w:val="007E7835"/>
    <w:rsid w:val="007E7A17"/>
    <w:rsid w:val="007F2E8D"/>
    <w:rsid w:val="007F379E"/>
    <w:rsid w:val="007F47B4"/>
    <w:rsid w:val="007F4C19"/>
    <w:rsid w:val="007F58D0"/>
    <w:rsid w:val="007F5D2D"/>
    <w:rsid w:val="007F75B3"/>
    <w:rsid w:val="00800D2B"/>
    <w:rsid w:val="00801B56"/>
    <w:rsid w:val="0080359E"/>
    <w:rsid w:val="008036AB"/>
    <w:rsid w:val="008036F5"/>
    <w:rsid w:val="008044AD"/>
    <w:rsid w:val="00804D80"/>
    <w:rsid w:val="008108F4"/>
    <w:rsid w:val="00811265"/>
    <w:rsid w:val="0081344D"/>
    <w:rsid w:val="00813ECB"/>
    <w:rsid w:val="00815776"/>
    <w:rsid w:val="0081683C"/>
    <w:rsid w:val="00821326"/>
    <w:rsid w:val="0082221F"/>
    <w:rsid w:val="00822DFB"/>
    <w:rsid w:val="0082328B"/>
    <w:rsid w:val="0082360D"/>
    <w:rsid w:val="00824A25"/>
    <w:rsid w:val="00824EBF"/>
    <w:rsid w:val="00825A0E"/>
    <w:rsid w:val="008260DF"/>
    <w:rsid w:val="0082719A"/>
    <w:rsid w:val="00831DF0"/>
    <w:rsid w:val="00832D87"/>
    <w:rsid w:val="00834A14"/>
    <w:rsid w:val="00835C1C"/>
    <w:rsid w:val="00840152"/>
    <w:rsid w:val="00840FC5"/>
    <w:rsid w:val="008410B5"/>
    <w:rsid w:val="008416AA"/>
    <w:rsid w:val="00842160"/>
    <w:rsid w:val="00843BF5"/>
    <w:rsid w:val="008445FC"/>
    <w:rsid w:val="00846D8E"/>
    <w:rsid w:val="00846E98"/>
    <w:rsid w:val="008507E9"/>
    <w:rsid w:val="008525B2"/>
    <w:rsid w:val="00852FBA"/>
    <w:rsid w:val="008533F1"/>
    <w:rsid w:val="0085390B"/>
    <w:rsid w:val="00853A8B"/>
    <w:rsid w:val="008544A1"/>
    <w:rsid w:val="00855032"/>
    <w:rsid w:val="008564E8"/>
    <w:rsid w:val="008600B3"/>
    <w:rsid w:val="00860113"/>
    <w:rsid w:val="00860639"/>
    <w:rsid w:val="00860D92"/>
    <w:rsid w:val="00862CDD"/>
    <w:rsid w:val="008630AC"/>
    <w:rsid w:val="0086490B"/>
    <w:rsid w:val="00864CBD"/>
    <w:rsid w:val="0086633F"/>
    <w:rsid w:val="00867524"/>
    <w:rsid w:val="00870DD8"/>
    <w:rsid w:val="0087146D"/>
    <w:rsid w:val="008714A2"/>
    <w:rsid w:val="00871FDB"/>
    <w:rsid w:val="00873494"/>
    <w:rsid w:val="00873E25"/>
    <w:rsid w:val="00874BBB"/>
    <w:rsid w:val="008751E6"/>
    <w:rsid w:val="008752DD"/>
    <w:rsid w:val="00875797"/>
    <w:rsid w:val="00875815"/>
    <w:rsid w:val="008760E9"/>
    <w:rsid w:val="0087659A"/>
    <w:rsid w:val="008774CD"/>
    <w:rsid w:val="008801DA"/>
    <w:rsid w:val="00880CFA"/>
    <w:rsid w:val="00880D48"/>
    <w:rsid w:val="00880FF0"/>
    <w:rsid w:val="008814D6"/>
    <w:rsid w:val="00881791"/>
    <w:rsid w:val="008831CE"/>
    <w:rsid w:val="00884250"/>
    <w:rsid w:val="0088565F"/>
    <w:rsid w:val="00891BB6"/>
    <w:rsid w:val="00892E5C"/>
    <w:rsid w:val="00892F02"/>
    <w:rsid w:val="008934CE"/>
    <w:rsid w:val="00893BA1"/>
    <w:rsid w:val="00894367"/>
    <w:rsid w:val="0089499B"/>
    <w:rsid w:val="00894A14"/>
    <w:rsid w:val="00895D42"/>
    <w:rsid w:val="0089668F"/>
    <w:rsid w:val="008A05EF"/>
    <w:rsid w:val="008A1E49"/>
    <w:rsid w:val="008A2457"/>
    <w:rsid w:val="008A2D6E"/>
    <w:rsid w:val="008A3065"/>
    <w:rsid w:val="008A3EE2"/>
    <w:rsid w:val="008A4480"/>
    <w:rsid w:val="008A4545"/>
    <w:rsid w:val="008A554C"/>
    <w:rsid w:val="008A7B33"/>
    <w:rsid w:val="008B02E9"/>
    <w:rsid w:val="008B0780"/>
    <w:rsid w:val="008B17E9"/>
    <w:rsid w:val="008B1804"/>
    <w:rsid w:val="008B2786"/>
    <w:rsid w:val="008B3107"/>
    <w:rsid w:val="008B3438"/>
    <w:rsid w:val="008B6549"/>
    <w:rsid w:val="008C02D2"/>
    <w:rsid w:val="008C07B4"/>
    <w:rsid w:val="008C0FDC"/>
    <w:rsid w:val="008C14D4"/>
    <w:rsid w:val="008C203A"/>
    <w:rsid w:val="008C221E"/>
    <w:rsid w:val="008C3217"/>
    <w:rsid w:val="008C334A"/>
    <w:rsid w:val="008C3D7D"/>
    <w:rsid w:val="008C4221"/>
    <w:rsid w:val="008C4242"/>
    <w:rsid w:val="008C4ECD"/>
    <w:rsid w:val="008C56DA"/>
    <w:rsid w:val="008C65E9"/>
    <w:rsid w:val="008D3BF1"/>
    <w:rsid w:val="008D41C8"/>
    <w:rsid w:val="008D4563"/>
    <w:rsid w:val="008D48DC"/>
    <w:rsid w:val="008D6DC0"/>
    <w:rsid w:val="008D7398"/>
    <w:rsid w:val="008D7F44"/>
    <w:rsid w:val="008D7F95"/>
    <w:rsid w:val="008E0393"/>
    <w:rsid w:val="008E406F"/>
    <w:rsid w:val="008E44A4"/>
    <w:rsid w:val="008E4CCA"/>
    <w:rsid w:val="008E561A"/>
    <w:rsid w:val="008E6171"/>
    <w:rsid w:val="008E7065"/>
    <w:rsid w:val="008E7097"/>
    <w:rsid w:val="008E7621"/>
    <w:rsid w:val="008F07DA"/>
    <w:rsid w:val="008F090E"/>
    <w:rsid w:val="008F099A"/>
    <w:rsid w:val="008F178D"/>
    <w:rsid w:val="008F186E"/>
    <w:rsid w:val="008F2C3A"/>
    <w:rsid w:val="008F4754"/>
    <w:rsid w:val="008F4A3E"/>
    <w:rsid w:val="008F4C78"/>
    <w:rsid w:val="008F558D"/>
    <w:rsid w:val="008F681A"/>
    <w:rsid w:val="008F7AFE"/>
    <w:rsid w:val="00900E69"/>
    <w:rsid w:val="00901083"/>
    <w:rsid w:val="0090161D"/>
    <w:rsid w:val="00901791"/>
    <w:rsid w:val="00906D05"/>
    <w:rsid w:val="00907827"/>
    <w:rsid w:val="009101C4"/>
    <w:rsid w:val="00910887"/>
    <w:rsid w:val="00910B86"/>
    <w:rsid w:val="00911601"/>
    <w:rsid w:val="009127A5"/>
    <w:rsid w:val="00915F39"/>
    <w:rsid w:val="00916760"/>
    <w:rsid w:val="00917A09"/>
    <w:rsid w:val="009214A0"/>
    <w:rsid w:val="00923600"/>
    <w:rsid w:val="00923D56"/>
    <w:rsid w:val="00924592"/>
    <w:rsid w:val="009252E6"/>
    <w:rsid w:val="0092624A"/>
    <w:rsid w:val="00926DE4"/>
    <w:rsid w:val="00927FFE"/>
    <w:rsid w:val="0093003C"/>
    <w:rsid w:val="00930A3F"/>
    <w:rsid w:val="00931581"/>
    <w:rsid w:val="00933548"/>
    <w:rsid w:val="00933928"/>
    <w:rsid w:val="00933C54"/>
    <w:rsid w:val="00934CFC"/>
    <w:rsid w:val="009359D7"/>
    <w:rsid w:val="00935B5F"/>
    <w:rsid w:val="00936617"/>
    <w:rsid w:val="00936AD2"/>
    <w:rsid w:val="0093716D"/>
    <w:rsid w:val="00937F5F"/>
    <w:rsid w:val="0094002D"/>
    <w:rsid w:val="009402E1"/>
    <w:rsid w:val="00940472"/>
    <w:rsid w:val="009412D4"/>
    <w:rsid w:val="00941551"/>
    <w:rsid w:val="00943F56"/>
    <w:rsid w:val="009471A6"/>
    <w:rsid w:val="009477A8"/>
    <w:rsid w:val="009500C6"/>
    <w:rsid w:val="00950DBD"/>
    <w:rsid w:val="0095130C"/>
    <w:rsid w:val="00951D9B"/>
    <w:rsid w:val="00953BD0"/>
    <w:rsid w:val="00953C72"/>
    <w:rsid w:val="00953F4B"/>
    <w:rsid w:val="009542D3"/>
    <w:rsid w:val="00954463"/>
    <w:rsid w:val="0095511F"/>
    <w:rsid w:val="00955272"/>
    <w:rsid w:val="00955359"/>
    <w:rsid w:val="00955AE4"/>
    <w:rsid w:val="00956933"/>
    <w:rsid w:val="00956AFE"/>
    <w:rsid w:val="00956DEA"/>
    <w:rsid w:val="0095723F"/>
    <w:rsid w:val="00957D8D"/>
    <w:rsid w:val="0096096F"/>
    <w:rsid w:val="00961C0D"/>
    <w:rsid w:val="00962AA0"/>
    <w:rsid w:val="009630D0"/>
    <w:rsid w:val="0096317E"/>
    <w:rsid w:val="00963315"/>
    <w:rsid w:val="00963ACA"/>
    <w:rsid w:val="009644EC"/>
    <w:rsid w:val="00964EA5"/>
    <w:rsid w:val="00966F7A"/>
    <w:rsid w:val="00967F06"/>
    <w:rsid w:val="009711A6"/>
    <w:rsid w:val="009727FA"/>
    <w:rsid w:val="009736EC"/>
    <w:rsid w:val="009740A8"/>
    <w:rsid w:val="00975B72"/>
    <w:rsid w:val="00980BBF"/>
    <w:rsid w:val="009819E7"/>
    <w:rsid w:val="00982B7D"/>
    <w:rsid w:val="00985265"/>
    <w:rsid w:val="00985D19"/>
    <w:rsid w:val="0098640C"/>
    <w:rsid w:val="00986A84"/>
    <w:rsid w:val="00987F49"/>
    <w:rsid w:val="00990432"/>
    <w:rsid w:val="00990AE2"/>
    <w:rsid w:val="00991872"/>
    <w:rsid w:val="00993B00"/>
    <w:rsid w:val="0099664E"/>
    <w:rsid w:val="00997264"/>
    <w:rsid w:val="00997981"/>
    <w:rsid w:val="009A1383"/>
    <w:rsid w:val="009A1A8E"/>
    <w:rsid w:val="009A1DA0"/>
    <w:rsid w:val="009A2828"/>
    <w:rsid w:val="009A2BF2"/>
    <w:rsid w:val="009A2F3F"/>
    <w:rsid w:val="009A2FC8"/>
    <w:rsid w:val="009A393B"/>
    <w:rsid w:val="009A45F2"/>
    <w:rsid w:val="009A7BE5"/>
    <w:rsid w:val="009B3846"/>
    <w:rsid w:val="009B4727"/>
    <w:rsid w:val="009B6FE9"/>
    <w:rsid w:val="009B7546"/>
    <w:rsid w:val="009B76E8"/>
    <w:rsid w:val="009B7AF9"/>
    <w:rsid w:val="009B7BC2"/>
    <w:rsid w:val="009C18A9"/>
    <w:rsid w:val="009C193B"/>
    <w:rsid w:val="009C44BF"/>
    <w:rsid w:val="009C477D"/>
    <w:rsid w:val="009C5DBF"/>
    <w:rsid w:val="009C78E7"/>
    <w:rsid w:val="009D08C8"/>
    <w:rsid w:val="009D22C4"/>
    <w:rsid w:val="009D27AA"/>
    <w:rsid w:val="009D2CBD"/>
    <w:rsid w:val="009D2E84"/>
    <w:rsid w:val="009D381E"/>
    <w:rsid w:val="009D47C6"/>
    <w:rsid w:val="009D55CA"/>
    <w:rsid w:val="009D6B2A"/>
    <w:rsid w:val="009E0638"/>
    <w:rsid w:val="009E24D3"/>
    <w:rsid w:val="009E44F4"/>
    <w:rsid w:val="009E4863"/>
    <w:rsid w:val="009E64E1"/>
    <w:rsid w:val="009E6829"/>
    <w:rsid w:val="009E7C59"/>
    <w:rsid w:val="009F1A4B"/>
    <w:rsid w:val="009F4661"/>
    <w:rsid w:val="009F649F"/>
    <w:rsid w:val="00A000A9"/>
    <w:rsid w:val="00A002AD"/>
    <w:rsid w:val="00A00BF5"/>
    <w:rsid w:val="00A01501"/>
    <w:rsid w:val="00A02D5D"/>
    <w:rsid w:val="00A02D6A"/>
    <w:rsid w:val="00A053DC"/>
    <w:rsid w:val="00A105A2"/>
    <w:rsid w:val="00A11112"/>
    <w:rsid w:val="00A13C16"/>
    <w:rsid w:val="00A1488E"/>
    <w:rsid w:val="00A14D06"/>
    <w:rsid w:val="00A153EA"/>
    <w:rsid w:val="00A15C59"/>
    <w:rsid w:val="00A16A30"/>
    <w:rsid w:val="00A16CBE"/>
    <w:rsid w:val="00A179E7"/>
    <w:rsid w:val="00A17E06"/>
    <w:rsid w:val="00A208C6"/>
    <w:rsid w:val="00A20AC2"/>
    <w:rsid w:val="00A21027"/>
    <w:rsid w:val="00A23CC9"/>
    <w:rsid w:val="00A26259"/>
    <w:rsid w:val="00A2649F"/>
    <w:rsid w:val="00A30B3B"/>
    <w:rsid w:val="00A30D88"/>
    <w:rsid w:val="00A34286"/>
    <w:rsid w:val="00A37066"/>
    <w:rsid w:val="00A371A6"/>
    <w:rsid w:val="00A40C03"/>
    <w:rsid w:val="00A40C5F"/>
    <w:rsid w:val="00A426DC"/>
    <w:rsid w:val="00A43335"/>
    <w:rsid w:val="00A43B5D"/>
    <w:rsid w:val="00A43DF0"/>
    <w:rsid w:val="00A44207"/>
    <w:rsid w:val="00A44289"/>
    <w:rsid w:val="00A442A2"/>
    <w:rsid w:val="00A44B24"/>
    <w:rsid w:val="00A4544E"/>
    <w:rsid w:val="00A461A2"/>
    <w:rsid w:val="00A50413"/>
    <w:rsid w:val="00A5053D"/>
    <w:rsid w:val="00A5164B"/>
    <w:rsid w:val="00A52BD9"/>
    <w:rsid w:val="00A538C4"/>
    <w:rsid w:val="00A5403E"/>
    <w:rsid w:val="00A54686"/>
    <w:rsid w:val="00A54881"/>
    <w:rsid w:val="00A54DA4"/>
    <w:rsid w:val="00A54ECC"/>
    <w:rsid w:val="00A579EF"/>
    <w:rsid w:val="00A57E2F"/>
    <w:rsid w:val="00A60618"/>
    <w:rsid w:val="00A61CFC"/>
    <w:rsid w:val="00A63051"/>
    <w:rsid w:val="00A63784"/>
    <w:rsid w:val="00A63ABB"/>
    <w:rsid w:val="00A643B8"/>
    <w:rsid w:val="00A6450D"/>
    <w:rsid w:val="00A656C2"/>
    <w:rsid w:val="00A675DF"/>
    <w:rsid w:val="00A67C17"/>
    <w:rsid w:val="00A7155E"/>
    <w:rsid w:val="00A71736"/>
    <w:rsid w:val="00A71AD9"/>
    <w:rsid w:val="00A71E7B"/>
    <w:rsid w:val="00A72D76"/>
    <w:rsid w:val="00A72E58"/>
    <w:rsid w:val="00A737D3"/>
    <w:rsid w:val="00A737EF"/>
    <w:rsid w:val="00A73E2A"/>
    <w:rsid w:val="00A742DF"/>
    <w:rsid w:val="00A7461C"/>
    <w:rsid w:val="00A753BF"/>
    <w:rsid w:val="00A77583"/>
    <w:rsid w:val="00A77A4D"/>
    <w:rsid w:val="00A77D9B"/>
    <w:rsid w:val="00A814E3"/>
    <w:rsid w:val="00A8180F"/>
    <w:rsid w:val="00A81C8A"/>
    <w:rsid w:val="00A81FC9"/>
    <w:rsid w:val="00A83880"/>
    <w:rsid w:val="00A849BD"/>
    <w:rsid w:val="00A86450"/>
    <w:rsid w:val="00A86A5F"/>
    <w:rsid w:val="00A86B97"/>
    <w:rsid w:val="00A87B9A"/>
    <w:rsid w:val="00A90D31"/>
    <w:rsid w:val="00A91614"/>
    <w:rsid w:val="00A91E61"/>
    <w:rsid w:val="00A93D64"/>
    <w:rsid w:val="00A94B9F"/>
    <w:rsid w:val="00A95177"/>
    <w:rsid w:val="00A961DE"/>
    <w:rsid w:val="00A96B18"/>
    <w:rsid w:val="00A97885"/>
    <w:rsid w:val="00AA0393"/>
    <w:rsid w:val="00AA0F79"/>
    <w:rsid w:val="00AA1105"/>
    <w:rsid w:val="00AA1580"/>
    <w:rsid w:val="00AA1CCA"/>
    <w:rsid w:val="00AA38AF"/>
    <w:rsid w:val="00AA3D5F"/>
    <w:rsid w:val="00AB0176"/>
    <w:rsid w:val="00AB11B1"/>
    <w:rsid w:val="00AB17C1"/>
    <w:rsid w:val="00AB356E"/>
    <w:rsid w:val="00AB3611"/>
    <w:rsid w:val="00AB4D35"/>
    <w:rsid w:val="00AB68CE"/>
    <w:rsid w:val="00AC06BC"/>
    <w:rsid w:val="00AC1166"/>
    <w:rsid w:val="00AC2F5A"/>
    <w:rsid w:val="00AC3B1B"/>
    <w:rsid w:val="00AC3CC7"/>
    <w:rsid w:val="00AC4B33"/>
    <w:rsid w:val="00AC4E95"/>
    <w:rsid w:val="00AC5119"/>
    <w:rsid w:val="00AC597A"/>
    <w:rsid w:val="00AC633B"/>
    <w:rsid w:val="00AC74AE"/>
    <w:rsid w:val="00AC764B"/>
    <w:rsid w:val="00AC7991"/>
    <w:rsid w:val="00AC7BB8"/>
    <w:rsid w:val="00AD0764"/>
    <w:rsid w:val="00AD079E"/>
    <w:rsid w:val="00AD1024"/>
    <w:rsid w:val="00AD2167"/>
    <w:rsid w:val="00AD2513"/>
    <w:rsid w:val="00AD3D5F"/>
    <w:rsid w:val="00AD5BF8"/>
    <w:rsid w:val="00AD7742"/>
    <w:rsid w:val="00AE1AC1"/>
    <w:rsid w:val="00AE25C2"/>
    <w:rsid w:val="00AE37AD"/>
    <w:rsid w:val="00AE397F"/>
    <w:rsid w:val="00AE527E"/>
    <w:rsid w:val="00AE5411"/>
    <w:rsid w:val="00AE58D6"/>
    <w:rsid w:val="00AE5CA2"/>
    <w:rsid w:val="00AE5F38"/>
    <w:rsid w:val="00AE687D"/>
    <w:rsid w:val="00AE6D77"/>
    <w:rsid w:val="00AE7F32"/>
    <w:rsid w:val="00AF0D95"/>
    <w:rsid w:val="00AF1B62"/>
    <w:rsid w:val="00AF2305"/>
    <w:rsid w:val="00AF3793"/>
    <w:rsid w:val="00AF6543"/>
    <w:rsid w:val="00AF6CD0"/>
    <w:rsid w:val="00AF7610"/>
    <w:rsid w:val="00B00713"/>
    <w:rsid w:val="00B00864"/>
    <w:rsid w:val="00B01444"/>
    <w:rsid w:val="00B03AB4"/>
    <w:rsid w:val="00B04B10"/>
    <w:rsid w:val="00B05ACD"/>
    <w:rsid w:val="00B07910"/>
    <w:rsid w:val="00B07A12"/>
    <w:rsid w:val="00B1065D"/>
    <w:rsid w:val="00B10EE5"/>
    <w:rsid w:val="00B11A77"/>
    <w:rsid w:val="00B11AB2"/>
    <w:rsid w:val="00B1342D"/>
    <w:rsid w:val="00B15ADC"/>
    <w:rsid w:val="00B16E37"/>
    <w:rsid w:val="00B174D0"/>
    <w:rsid w:val="00B20E63"/>
    <w:rsid w:val="00B21882"/>
    <w:rsid w:val="00B22505"/>
    <w:rsid w:val="00B23AD2"/>
    <w:rsid w:val="00B23C98"/>
    <w:rsid w:val="00B23D9F"/>
    <w:rsid w:val="00B245F6"/>
    <w:rsid w:val="00B25F41"/>
    <w:rsid w:val="00B30AF9"/>
    <w:rsid w:val="00B329DC"/>
    <w:rsid w:val="00B332F9"/>
    <w:rsid w:val="00B334ED"/>
    <w:rsid w:val="00B336A4"/>
    <w:rsid w:val="00B340A6"/>
    <w:rsid w:val="00B34113"/>
    <w:rsid w:val="00B3579E"/>
    <w:rsid w:val="00B37F3E"/>
    <w:rsid w:val="00B40330"/>
    <w:rsid w:val="00B41060"/>
    <w:rsid w:val="00B41B29"/>
    <w:rsid w:val="00B44AD1"/>
    <w:rsid w:val="00B453FE"/>
    <w:rsid w:val="00B456D0"/>
    <w:rsid w:val="00B46FCD"/>
    <w:rsid w:val="00B470D1"/>
    <w:rsid w:val="00B50B08"/>
    <w:rsid w:val="00B51671"/>
    <w:rsid w:val="00B51899"/>
    <w:rsid w:val="00B519B4"/>
    <w:rsid w:val="00B532EA"/>
    <w:rsid w:val="00B5337E"/>
    <w:rsid w:val="00B53403"/>
    <w:rsid w:val="00B53BFE"/>
    <w:rsid w:val="00B54921"/>
    <w:rsid w:val="00B5588D"/>
    <w:rsid w:val="00B56748"/>
    <w:rsid w:val="00B56A4E"/>
    <w:rsid w:val="00B60655"/>
    <w:rsid w:val="00B61C75"/>
    <w:rsid w:val="00B6355B"/>
    <w:rsid w:val="00B63CA3"/>
    <w:rsid w:val="00B64669"/>
    <w:rsid w:val="00B64733"/>
    <w:rsid w:val="00B659F6"/>
    <w:rsid w:val="00B66DDC"/>
    <w:rsid w:val="00B67746"/>
    <w:rsid w:val="00B704A7"/>
    <w:rsid w:val="00B70CA9"/>
    <w:rsid w:val="00B74DA1"/>
    <w:rsid w:val="00B755F7"/>
    <w:rsid w:val="00B75EC4"/>
    <w:rsid w:val="00B76322"/>
    <w:rsid w:val="00B76CA6"/>
    <w:rsid w:val="00B77F55"/>
    <w:rsid w:val="00B83104"/>
    <w:rsid w:val="00B837B2"/>
    <w:rsid w:val="00B8419A"/>
    <w:rsid w:val="00B84A51"/>
    <w:rsid w:val="00B85B7A"/>
    <w:rsid w:val="00B862B4"/>
    <w:rsid w:val="00B8718A"/>
    <w:rsid w:val="00B87E28"/>
    <w:rsid w:val="00B87E4E"/>
    <w:rsid w:val="00B90452"/>
    <w:rsid w:val="00B90FAF"/>
    <w:rsid w:val="00B9146A"/>
    <w:rsid w:val="00B936F0"/>
    <w:rsid w:val="00B9596A"/>
    <w:rsid w:val="00B9668E"/>
    <w:rsid w:val="00B976BA"/>
    <w:rsid w:val="00BA0748"/>
    <w:rsid w:val="00BA1047"/>
    <w:rsid w:val="00BA1B1E"/>
    <w:rsid w:val="00BA3614"/>
    <w:rsid w:val="00BA3BBD"/>
    <w:rsid w:val="00BA6458"/>
    <w:rsid w:val="00BB1D10"/>
    <w:rsid w:val="00BB1F3E"/>
    <w:rsid w:val="00BB36A3"/>
    <w:rsid w:val="00BB4483"/>
    <w:rsid w:val="00BB7921"/>
    <w:rsid w:val="00BC04E0"/>
    <w:rsid w:val="00BC2070"/>
    <w:rsid w:val="00BC37E5"/>
    <w:rsid w:val="00BC5120"/>
    <w:rsid w:val="00BC647D"/>
    <w:rsid w:val="00BC6799"/>
    <w:rsid w:val="00BC68FB"/>
    <w:rsid w:val="00BC6C72"/>
    <w:rsid w:val="00BC757C"/>
    <w:rsid w:val="00BC7FD4"/>
    <w:rsid w:val="00BD0DA1"/>
    <w:rsid w:val="00BD210B"/>
    <w:rsid w:val="00BD27DA"/>
    <w:rsid w:val="00BD2C42"/>
    <w:rsid w:val="00BD2C4B"/>
    <w:rsid w:val="00BD391A"/>
    <w:rsid w:val="00BD4387"/>
    <w:rsid w:val="00BD46F3"/>
    <w:rsid w:val="00BD4B2D"/>
    <w:rsid w:val="00BD4B80"/>
    <w:rsid w:val="00BD52A8"/>
    <w:rsid w:val="00BD5CDD"/>
    <w:rsid w:val="00BD674F"/>
    <w:rsid w:val="00BD69EF"/>
    <w:rsid w:val="00BD7EBB"/>
    <w:rsid w:val="00BE090B"/>
    <w:rsid w:val="00BE14B7"/>
    <w:rsid w:val="00BE163B"/>
    <w:rsid w:val="00BE1FEB"/>
    <w:rsid w:val="00BE2675"/>
    <w:rsid w:val="00BE3595"/>
    <w:rsid w:val="00BE49A6"/>
    <w:rsid w:val="00BE6C9F"/>
    <w:rsid w:val="00BE75A4"/>
    <w:rsid w:val="00BE7FD9"/>
    <w:rsid w:val="00BF0E33"/>
    <w:rsid w:val="00BF199D"/>
    <w:rsid w:val="00BF1FF4"/>
    <w:rsid w:val="00BF26C8"/>
    <w:rsid w:val="00BF273B"/>
    <w:rsid w:val="00BF2D3B"/>
    <w:rsid w:val="00BF3388"/>
    <w:rsid w:val="00BF6227"/>
    <w:rsid w:val="00BF7413"/>
    <w:rsid w:val="00C0107F"/>
    <w:rsid w:val="00C03977"/>
    <w:rsid w:val="00C043BA"/>
    <w:rsid w:val="00C04F7B"/>
    <w:rsid w:val="00C05216"/>
    <w:rsid w:val="00C0524A"/>
    <w:rsid w:val="00C075C8"/>
    <w:rsid w:val="00C077BB"/>
    <w:rsid w:val="00C07A8E"/>
    <w:rsid w:val="00C1113C"/>
    <w:rsid w:val="00C11346"/>
    <w:rsid w:val="00C1381F"/>
    <w:rsid w:val="00C152B0"/>
    <w:rsid w:val="00C155CD"/>
    <w:rsid w:val="00C16447"/>
    <w:rsid w:val="00C20F7A"/>
    <w:rsid w:val="00C21C77"/>
    <w:rsid w:val="00C2269B"/>
    <w:rsid w:val="00C23198"/>
    <w:rsid w:val="00C23979"/>
    <w:rsid w:val="00C24138"/>
    <w:rsid w:val="00C24AF6"/>
    <w:rsid w:val="00C25C15"/>
    <w:rsid w:val="00C2621A"/>
    <w:rsid w:val="00C30BC2"/>
    <w:rsid w:val="00C3233A"/>
    <w:rsid w:val="00C32AA6"/>
    <w:rsid w:val="00C3314A"/>
    <w:rsid w:val="00C33A8F"/>
    <w:rsid w:val="00C3417F"/>
    <w:rsid w:val="00C34C6E"/>
    <w:rsid w:val="00C36E5C"/>
    <w:rsid w:val="00C36FF8"/>
    <w:rsid w:val="00C370E8"/>
    <w:rsid w:val="00C42CA6"/>
    <w:rsid w:val="00C42F5C"/>
    <w:rsid w:val="00C43BA2"/>
    <w:rsid w:val="00C46DC6"/>
    <w:rsid w:val="00C46EF9"/>
    <w:rsid w:val="00C502A5"/>
    <w:rsid w:val="00C510C3"/>
    <w:rsid w:val="00C5205B"/>
    <w:rsid w:val="00C5309B"/>
    <w:rsid w:val="00C548C5"/>
    <w:rsid w:val="00C558E9"/>
    <w:rsid w:val="00C55E64"/>
    <w:rsid w:val="00C56600"/>
    <w:rsid w:val="00C575B8"/>
    <w:rsid w:val="00C607A6"/>
    <w:rsid w:val="00C60AFB"/>
    <w:rsid w:val="00C62391"/>
    <w:rsid w:val="00C625E6"/>
    <w:rsid w:val="00C639C1"/>
    <w:rsid w:val="00C657AD"/>
    <w:rsid w:val="00C66054"/>
    <w:rsid w:val="00C66871"/>
    <w:rsid w:val="00C66ABB"/>
    <w:rsid w:val="00C67B2B"/>
    <w:rsid w:val="00C711CE"/>
    <w:rsid w:val="00C7172D"/>
    <w:rsid w:val="00C71C01"/>
    <w:rsid w:val="00C71F07"/>
    <w:rsid w:val="00C720BD"/>
    <w:rsid w:val="00C723BB"/>
    <w:rsid w:val="00C73CD6"/>
    <w:rsid w:val="00C74397"/>
    <w:rsid w:val="00C74687"/>
    <w:rsid w:val="00C75C9C"/>
    <w:rsid w:val="00C75F6E"/>
    <w:rsid w:val="00C80A1B"/>
    <w:rsid w:val="00C80EE1"/>
    <w:rsid w:val="00C810EC"/>
    <w:rsid w:val="00C81D07"/>
    <w:rsid w:val="00C8218C"/>
    <w:rsid w:val="00C821DF"/>
    <w:rsid w:val="00C82E6F"/>
    <w:rsid w:val="00C85BAF"/>
    <w:rsid w:val="00C86D64"/>
    <w:rsid w:val="00C87FFB"/>
    <w:rsid w:val="00C909C7"/>
    <w:rsid w:val="00C90B75"/>
    <w:rsid w:val="00C923F6"/>
    <w:rsid w:val="00C92B43"/>
    <w:rsid w:val="00C9513A"/>
    <w:rsid w:val="00C951E8"/>
    <w:rsid w:val="00C9684A"/>
    <w:rsid w:val="00CA0A49"/>
    <w:rsid w:val="00CA14A0"/>
    <w:rsid w:val="00CA1E13"/>
    <w:rsid w:val="00CA1E5C"/>
    <w:rsid w:val="00CA1F1B"/>
    <w:rsid w:val="00CA2AD1"/>
    <w:rsid w:val="00CA3312"/>
    <w:rsid w:val="00CA3D7A"/>
    <w:rsid w:val="00CA5109"/>
    <w:rsid w:val="00CA65BC"/>
    <w:rsid w:val="00CA6A4D"/>
    <w:rsid w:val="00CA7614"/>
    <w:rsid w:val="00CA7A34"/>
    <w:rsid w:val="00CA7FBD"/>
    <w:rsid w:val="00CB0B72"/>
    <w:rsid w:val="00CB1B76"/>
    <w:rsid w:val="00CB22E8"/>
    <w:rsid w:val="00CB2CB9"/>
    <w:rsid w:val="00CB2F91"/>
    <w:rsid w:val="00CB30B6"/>
    <w:rsid w:val="00CB4939"/>
    <w:rsid w:val="00CB5A10"/>
    <w:rsid w:val="00CB6CF9"/>
    <w:rsid w:val="00CB7A30"/>
    <w:rsid w:val="00CC0458"/>
    <w:rsid w:val="00CC0B4E"/>
    <w:rsid w:val="00CC0D93"/>
    <w:rsid w:val="00CC1551"/>
    <w:rsid w:val="00CC1A8A"/>
    <w:rsid w:val="00CC1CBF"/>
    <w:rsid w:val="00CC39BC"/>
    <w:rsid w:val="00CC4E94"/>
    <w:rsid w:val="00CC6FB9"/>
    <w:rsid w:val="00CC73CC"/>
    <w:rsid w:val="00CD0423"/>
    <w:rsid w:val="00CD18D9"/>
    <w:rsid w:val="00CD1912"/>
    <w:rsid w:val="00CD2173"/>
    <w:rsid w:val="00CD219D"/>
    <w:rsid w:val="00CD2831"/>
    <w:rsid w:val="00CD3077"/>
    <w:rsid w:val="00CD5C29"/>
    <w:rsid w:val="00CD5C83"/>
    <w:rsid w:val="00CE0591"/>
    <w:rsid w:val="00CE0B8A"/>
    <w:rsid w:val="00CE13C7"/>
    <w:rsid w:val="00CE21DB"/>
    <w:rsid w:val="00CE2A02"/>
    <w:rsid w:val="00CE2B4C"/>
    <w:rsid w:val="00CE3025"/>
    <w:rsid w:val="00CE39DE"/>
    <w:rsid w:val="00CE3BDD"/>
    <w:rsid w:val="00CE3C93"/>
    <w:rsid w:val="00CE4A4B"/>
    <w:rsid w:val="00CE653C"/>
    <w:rsid w:val="00CE72F9"/>
    <w:rsid w:val="00CE75A2"/>
    <w:rsid w:val="00CF0410"/>
    <w:rsid w:val="00CF2C31"/>
    <w:rsid w:val="00CF2E03"/>
    <w:rsid w:val="00CF32B1"/>
    <w:rsid w:val="00CF3B4B"/>
    <w:rsid w:val="00CF3BAC"/>
    <w:rsid w:val="00CF4828"/>
    <w:rsid w:val="00CF5A23"/>
    <w:rsid w:val="00CF5E85"/>
    <w:rsid w:val="00CF7561"/>
    <w:rsid w:val="00CF7F66"/>
    <w:rsid w:val="00D00E93"/>
    <w:rsid w:val="00D04E31"/>
    <w:rsid w:val="00D05C4C"/>
    <w:rsid w:val="00D07E74"/>
    <w:rsid w:val="00D10350"/>
    <w:rsid w:val="00D121E0"/>
    <w:rsid w:val="00D12323"/>
    <w:rsid w:val="00D12D16"/>
    <w:rsid w:val="00D15263"/>
    <w:rsid w:val="00D15DEE"/>
    <w:rsid w:val="00D166A8"/>
    <w:rsid w:val="00D1792C"/>
    <w:rsid w:val="00D17B02"/>
    <w:rsid w:val="00D17F6A"/>
    <w:rsid w:val="00D20BB1"/>
    <w:rsid w:val="00D21004"/>
    <w:rsid w:val="00D214D5"/>
    <w:rsid w:val="00D2325D"/>
    <w:rsid w:val="00D25574"/>
    <w:rsid w:val="00D306B8"/>
    <w:rsid w:val="00D31B78"/>
    <w:rsid w:val="00D3256D"/>
    <w:rsid w:val="00D36742"/>
    <w:rsid w:val="00D40C95"/>
    <w:rsid w:val="00D430AD"/>
    <w:rsid w:val="00D43ACA"/>
    <w:rsid w:val="00D43EA7"/>
    <w:rsid w:val="00D441A4"/>
    <w:rsid w:val="00D44322"/>
    <w:rsid w:val="00D44515"/>
    <w:rsid w:val="00D459C3"/>
    <w:rsid w:val="00D45B61"/>
    <w:rsid w:val="00D46220"/>
    <w:rsid w:val="00D46DC9"/>
    <w:rsid w:val="00D478C0"/>
    <w:rsid w:val="00D51A77"/>
    <w:rsid w:val="00D51A94"/>
    <w:rsid w:val="00D5311C"/>
    <w:rsid w:val="00D5411A"/>
    <w:rsid w:val="00D54441"/>
    <w:rsid w:val="00D56395"/>
    <w:rsid w:val="00D571BD"/>
    <w:rsid w:val="00D57559"/>
    <w:rsid w:val="00D57DE8"/>
    <w:rsid w:val="00D6119B"/>
    <w:rsid w:val="00D62075"/>
    <w:rsid w:val="00D640FB"/>
    <w:rsid w:val="00D65205"/>
    <w:rsid w:val="00D652BF"/>
    <w:rsid w:val="00D659F9"/>
    <w:rsid w:val="00D7076C"/>
    <w:rsid w:val="00D71801"/>
    <w:rsid w:val="00D718E5"/>
    <w:rsid w:val="00D71D2C"/>
    <w:rsid w:val="00D72047"/>
    <w:rsid w:val="00D7206D"/>
    <w:rsid w:val="00D72B92"/>
    <w:rsid w:val="00D72E61"/>
    <w:rsid w:val="00D73C46"/>
    <w:rsid w:val="00D769E3"/>
    <w:rsid w:val="00D770D5"/>
    <w:rsid w:val="00D7748D"/>
    <w:rsid w:val="00D80BFA"/>
    <w:rsid w:val="00D80DD4"/>
    <w:rsid w:val="00D8157E"/>
    <w:rsid w:val="00D81E01"/>
    <w:rsid w:val="00D8335A"/>
    <w:rsid w:val="00D83DFF"/>
    <w:rsid w:val="00D84BF0"/>
    <w:rsid w:val="00D855B0"/>
    <w:rsid w:val="00D85F03"/>
    <w:rsid w:val="00D87100"/>
    <w:rsid w:val="00D871DA"/>
    <w:rsid w:val="00D87D2F"/>
    <w:rsid w:val="00D90662"/>
    <w:rsid w:val="00D9125F"/>
    <w:rsid w:val="00D915C6"/>
    <w:rsid w:val="00D91967"/>
    <w:rsid w:val="00D91A67"/>
    <w:rsid w:val="00D922DD"/>
    <w:rsid w:val="00D92896"/>
    <w:rsid w:val="00D92D26"/>
    <w:rsid w:val="00D935B8"/>
    <w:rsid w:val="00D942BB"/>
    <w:rsid w:val="00D950BD"/>
    <w:rsid w:val="00D952F0"/>
    <w:rsid w:val="00D95E0D"/>
    <w:rsid w:val="00D95E47"/>
    <w:rsid w:val="00D97B83"/>
    <w:rsid w:val="00DA0684"/>
    <w:rsid w:val="00DA3800"/>
    <w:rsid w:val="00DA4AC0"/>
    <w:rsid w:val="00DA4DC3"/>
    <w:rsid w:val="00DA6F1E"/>
    <w:rsid w:val="00DB02CC"/>
    <w:rsid w:val="00DB0BBC"/>
    <w:rsid w:val="00DB0C86"/>
    <w:rsid w:val="00DB12BC"/>
    <w:rsid w:val="00DB20D9"/>
    <w:rsid w:val="00DB2647"/>
    <w:rsid w:val="00DB5143"/>
    <w:rsid w:val="00DB5451"/>
    <w:rsid w:val="00DB597F"/>
    <w:rsid w:val="00DB696F"/>
    <w:rsid w:val="00DC0F14"/>
    <w:rsid w:val="00DC15EB"/>
    <w:rsid w:val="00DC1C32"/>
    <w:rsid w:val="00DC248D"/>
    <w:rsid w:val="00DC36FE"/>
    <w:rsid w:val="00DC3A1D"/>
    <w:rsid w:val="00DC410C"/>
    <w:rsid w:val="00DC51FE"/>
    <w:rsid w:val="00DC641F"/>
    <w:rsid w:val="00DC7E17"/>
    <w:rsid w:val="00DD07A4"/>
    <w:rsid w:val="00DD0F4F"/>
    <w:rsid w:val="00DD1E16"/>
    <w:rsid w:val="00DD3B9C"/>
    <w:rsid w:val="00DD4FCB"/>
    <w:rsid w:val="00DD612E"/>
    <w:rsid w:val="00DD6327"/>
    <w:rsid w:val="00DD7E62"/>
    <w:rsid w:val="00DD7F37"/>
    <w:rsid w:val="00DE0B3F"/>
    <w:rsid w:val="00DE0D3C"/>
    <w:rsid w:val="00DE11B8"/>
    <w:rsid w:val="00DE16F1"/>
    <w:rsid w:val="00DE1C36"/>
    <w:rsid w:val="00DE26F9"/>
    <w:rsid w:val="00DE43A1"/>
    <w:rsid w:val="00DE4A27"/>
    <w:rsid w:val="00DE5FD6"/>
    <w:rsid w:val="00DE6C67"/>
    <w:rsid w:val="00DF0214"/>
    <w:rsid w:val="00DF13D1"/>
    <w:rsid w:val="00DF2926"/>
    <w:rsid w:val="00DF2AA1"/>
    <w:rsid w:val="00DF3A39"/>
    <w:rsid w:val="00DF3FBE"/>
    <w:rsid w:val="00DF5DF1"/>
    <w:rsid w:val="00DF6EBF"/>
    <w:rsid w:val="00DF75EB"/>
    <w:rsid w:val="00E00EEC"/>
    <w:rsid w:val="00E01371"/>
    <w:rsid w:val="00E0192C"/>
    <w:rsid w:val="00E02BC0"/>
    <w:rsid w:val="00E037FD"/>
    <w:rsid w:val="00E045CA"/>
    <w:rsid w:val="00E04BFD"/>
    <w:rsid w:val="00E05D7B"/>
    <w:rsid w:val="00E0623E"/>
    <w:rsid w:val="00E06297"/>
    <w:rsid w:val="00E06B97"/>
    <w:rsid w:val="00E0708E"/>
    <w:rsid w:val="00E071DE"/>
    <w:rsid w:val="00E07BAF"/>
    <w:rsid w:val="00E1183D"/>
    <w:rsid w:val="00E12B2A"/>
    <w:rsid w:val="00E12C4C"/>
    <w:rsid w:val="00E12CD7"/>
    <w:rsid w:val="00E13005"/>
    <w:rsid w:val="00E1561A"/>
    <w:rsid w:val="00E158EE"/>
    <w:rsid w:val="00E15988"/>
    <w:rsid w:val="00E159ED"/>
    <w:rsid w:val="00E15A26"/>
    <w:rsid w:val="00E160A4"/>
    <w:rsid w:val="00E178C1"/>
    <w:rsid w:val="00E17A95"/>
    <w:rsid w:val="00E17F9A"/>
    <w:rsid w:val="00E206A5"/>
    <w:rsid w:val="00E20867"/>
    <w:rsid w:val="00E21145"/>
    <w:rsid w:val="00E213D3"/>
    <w:rsid w:val="00E2445A"/>
    <w:rsid w:val="00E24738"/>
    <w:rsid w:val="00E24A2A"/>
    <w:rsid w:val="00E24EA0"/>
    <w:rsid w:val="00E27611"/>
    <w:rsid w:val="00E27914"/>
    <w:rsid w:val="00E30495"/>
    <w:rsid w:val="00E30C92"/>
    <w:rsid w:val="00E30D51"/>
    <w:rsid w:val="00E30F65"/>
    <w:rsid w:val="00E31E51"/>
    <w:rsid w:val="00E322CF"/>
    <w:rsid w:val="00E328F1"/>
    <w:rsid w:val="00E32E56"/>
    <w:rsid w:val="00E33093"/>
    <w:rsid w:val="00E332DF"/>
    <w:rsid w:val="00E36652"/>
    <w:rsid w:val="00E36BE2"/>
    <w:rsid w:val="00E375F7"/>
    <w:rsid w:val="00E41366"/>
    <w:rsid w:val="00E41480"/>
    <w:rsid w:val="00E417E3"/>
    <w:rsid w:val="00E423A1"/>
    <w:rsid w:val="00E42D65"/>
    <w:rsid w:val="00E43891"/>
    <w:rsid w:val="00E44699"/>
    <w:rsid w:val="00E45771"/>
    <w:rsid w:val="00E45DF2"/>
    <w:rsid w:val="00E46638"/>
    <w:rsid w:val="00E468F4"/>
    <w:rsid w:val="00E46FA0"/>
    <w:rsid w:val="00E46FDB"/>
    <w:rsid w:val="00E5076F"/>
    <w:rsid w:val="00E5089A"/>
    <w:rsid w:val="00E515AD"/>
    <w:rsid w:val="00E53203"/>
    <w:rsid w:val="00E53DDC"/>
    <w:rsid w:val="00E5552E"/>
    <w:rsid w:val="00E5570F"/>
    <w:rsid w:val="00E57EE1"/>
    <w:rsid w:val="00E60216"/>
    <w:rsid w:val="00E635A5"/>
    <w:rsid w:val="00E66A28"/>
    <w:rsid w:val="00E66ABB"/>
    <w:rsid w:val="00E67235"/>
    <w:rsid w:val="00E673B0"/>
    <w:rsid w:val="00E70700"/>
    <w:rsid w:val="00E71960"/>
    <w:rsid w:val="00E722FD"/>
    <w:rsid w:val="00E72492"/>
    <w:rsid w:val="00E748D7"/>
    <w:rsid w:val="00E755D0"/>
    <w:rsid w:val="00E75A79"/>
    <w:rsid w:val="00E75F7D"/>
    <w:rsid w:val="00E76954"/>
    <w:rsid w:val="00E775D2"/>
    <w:rsid w:val="00E81229"/>
    <w:rsid w:val="00E815CD"/>
    <w:rsid w:val="00E81ED4"/>
    <w:rsid w:val="00E827F7"/>
    <w:rsid w:val="00E83380"/>
    <w:rsid w:val="00E8363C"/>
    <w:rsid w:val="00E840A0"/>
    <w:rsid w:val="00E84119"/>
    <w:rsid w:val="00E84197"/>
    <w:rsid w:val="00E85C80"/>
    <w:rsid w:val="00E867D3"/>
    <w:rsid w:val="00E872F0"/>
    <w:rsid w:val="00E87F9F"/>
    <w:rsid w:val="00E900AC"/>
    <w:rsid w:val="00E902B2"/>
    <w:rsid w:val="00E904FD"/>
    <w:rsid w:val="00E930C7"/>
    <w:rsid w:val="00E9357C"/>
    <w:rsid w:val="00E9486D"/>
    <w:rsid w:val="00E9545C"/>
    <w:rsid w:val="00E960B5"/>
    <w:rsid w:val="00E971AF"/>
    <w:rsid w:val="00E9792C"/>
    <w:rsid w:val="00E97A54"/>
    <w:rsid w:val="00EA0325"/>
    <w:rsid w:val="00EA0A22"/>
    <w:rsid w:val="00EA0F1B"/>
    <w:rsid w:val="00EA127D"/>
    <w:rsid w:val="00EA229A"/>
    <w:rsid w:val="00EA231B"/>
    <w:rsid w:val="00EA3E6D"/>
    <w:rsid w:val="00EA41BB"/>
    <w:rsid w:val="00EA53C5"/>
    <w:rsid w:val="00EA60C5"/>
    <w:rsid w:val="00EA773F"/>
    <w:rsid w:val="00EB035F"/>
    <w:rsid w:val="00EB32A0"/>
    <w:rsid w:val="00EB562A"/>
    <w:rsid w:val="00EC003E"/>
    <w:rsid w:val="00EC0F3B"/>
    <w:rsid w:val="00EC1AE4"/>
    <w:rsid w:val="00EC38BF"/>
    <w:rsid w:val="00EC4587"/>
    <w:rsid w:val="00EC48E4"/>
    <w:rsid w:val="00EC5B0D"/>
    <w:rsid w:val="00EC6D54"/>
    <w:rsid w:val="00EC700A"/>
    <w:rsid w:val="00EC7CE7"/>
    <w:rsid w:val="00EC7D75"/>
    <w:rsid w:val="00ED02B9"/>
    <w:rsid w:val="00ED0371"/>
    <w:rsid w:val="00ED03C3"/>
    <w:rsid w:val="00ED093E"/>
    <w:rsid w:val="00ED09CE"/>
    <w:rsid w:val="00ED3B9D"/>
    <w:rsid w:val="00ED4205"/>
    <w:rsid w:val="00ED4897"/>
    <w:rsid w:val="00ED4B15"/>
    <w:rsid w:val="00ED67B4"/>
    <w:rsid w:val="00EE0658"/>
    <w:rsid w:val="00EE1190"/>
    <w:rsid w:val="00EE19E0"/>
    <w:rsid w:val="00EE3D01"/>
    <w:rsid w:val="00EE4C24"/>
    <w:rsid w:val="00EE5D9B"/>
    <w:rsid w:val="00EE5FF3"/>
    <w:rsid w:val="00EE63FA"/>
    <w:rsid w:val="00EE71C9"/>
    <w:rsid w:val="00EE749A"/>
    <w:rsid w:val="00EE74DE"/>
    <w:rsid w:val="00EE7566"/>
    <w:rsid w:val="00EF08FE"/>
    <w:rsid w:val="00EF1B13"/>
    <w:rsid w:val="00EF3947"/>
    <w:rsid w:val="00EF3D33"/>
    <w:rsid w:val="00EF3EA7"/>
    <w:rsid w:val="00EF4651"/>
    <w:rsid w:val="00EF4C20"/>
    <w:rsid w:val="00EF59B2"/>
    <w:rsid w:val="00EF5A61"/>
    <w:rsid w:val="00EF7123"/>
    <w:rsid w:val="00EF7248"/>
    <w:rsid w:val="00EF7507"/>
    <w:rsid w:val="00EF77E5"/>
    <w:rsid w:val="00F0059A"/>
    <w:rsid w:val="00F00735"/>
    <w:rsid w:val="00F00C46"/>
    <w:rsid w:val="00F02370"/>
    <w:rsid w:val="00F023CE"/>
    <w:rsid w:val="00F0273B"/>
    <w:rsid w:val="00F02988"/>
    <w:rsid w:val="00F02E5A"/>
    <w:rsid w:val="00F0343A"/>
    <w:rsid w:val="00F037E6"/>
    <w:rsid w:val="00F04069"/>
    <w:rsid w:val="00F060E9"/>
    <w:rsid w:val="00F064DE"/>
    <w:rsid w:val="00F071FC"/>
    <w:rsid w:val="00F0745A"/>
    <w:rsid w:val="00F11D5A"/>
    <w:rsid w:val="00F12612"/>
    <w:rsid w:val="00F13D2B"/>
    <w:rsid w:val="00F15137"/>
    <w:rsid w:val="00F1623D"/>
    <w:rsid w:val="00F16DCA"/>
    <w:rsid w:val="00F17B27"/>
    <w:rsid w:val="00F21B26"/>
    <w:rsid w:val="00F246B5"/>
    <w:rsid w:val="00F2527D"/>
    <w:rsid w:val="00F27F7E"/>
    <w:rsid w:val="00F301E7"/>
    <w:rsid w:val="00F30E00"/>
    <w:rsid w:val="00F31420"/>
    <w:rsid w:val="00F31629"/>
    <w:rsid w:val="00F334A0"/>
    <w:rsid w:val="00F36BBA"/>
    <w:rsid w:val="00F37885"/>
    <w:rsid w:val="00F4040B"/>
    <w:rsid w:val="00F415E3"/>
    <w:rsid w:val="00F41D42"/>
    <w:rsid w:val="00F428CD"/>
    <w:rsid w:val="00F46BDF"/>
    <w:rsid w:val="00F46F2E"/>
    <w:rsid w:val="00F51A98"/>
    <w:rsid w:val="00F529E8"/>
    <w:rsid w:val="00F53F35"/>
    <w:rsid w:val="00F54B00"/>
    <w:rsid w:val="00F60F13"/>
    <w:rsid w:val="00F629CC"/>
    <w:rsid w:val="00F631D6"/>
    <w:rsid w:val="00F63896"/>
    <w:rsid w:val="00F64112"/>
    <w:rsid w:val="00F706F0"/>
    <w:rsid w:val="00F72C35"/>
    <w:rsid w:val="00F73C12"/>
    <w:rsid w:val="00F74111"/>
    <w:rsid w:val="00F74196"/>
    <w:rsid w:val="00F74757"/>
    <w:rsid w:val="00F75479"/>
    <w:rsid w:val="00F75A8A"/>
    <w:rsid w:val="00F7706D"/>
    <w:rsid w:val="00F77128"/>
    <w:rsid w:val="00F778D1"/>
    <w:rsid w:val="00F8044D"/>
    <w:rsid w:val="00F80BF8"/>
    <w:rsid w:val="00F817EB"/>
    <w:rsid w:val="00F81FC7"/>
    <w:rsid w:val="00F822A2"/>
    <w:rsid w:val="00F8335F"/>
    <w:rsid w:val="00F8350A"/>
    <w:rsid w:val="00F86BFF"/>
    <w:rsid w:val="00F87D56"/>
    <w:rsid w:val="00F911EC"/>
    <w:rsid w:val="00F92275"/>
    <w:rsid w:val="00F92583"/>
    <w:rsid w:val="00F92887"/>
    <w:rsid w:val="00F92EE7"/>
    <w:rsid w:val="00F96B60"/>
    <w:rsid w:val="00F973B2"/>
    <w:rsid w:val="00F97B9A"/>
    <w:rsid w:val="00FA0346"/>
    <w:rsid w:val="00FA065C"/>
    <w:rsid w:val="00FA09D7"/>
    <w:rsid w:val="00FA0C10"/>
    <w:rsid w:val="00FA1D88"/>
    <w:rsid w:val="00FA49E6"/>
    <w:rsid w:val="00FA4F23"/>
    <w:rsid w:val="00FA6633"/>
    <w:rsid w:val="00FA682E"/>
    <w:rsid w:val="00FB030F"/>
    <w:rsid w:val="00FB0648"/>
    <w:rsid w:val="00FB08DA"/>
    <w:rsid w:val="00FB290C"/>
    <w:rsid w:val="00FB2A7D"/>
    <w:rsid w:val="00FB2AD3"/>
    <w:rsid w:val="00FB33E9"/>
    <w:rsid w:val="00FB3431"/>
    <w:rsid w:val="00FB3FA3"/>
    <w:rsid w:val="00FB443C"/>
    <w:rsid w:val="00FB59A7"/>
    <w:rsid w:val="00FB727C"/>
    <w:rsid w:val="00FB7308"/>
    <w:rsid w:val="00FB7924"/>
    <w:rsid w:val="00FC0268"/>
    <w:rsid w:val="00FC199F"/>
    <w:rsid w:val="00FC20BF"/>
    <w:rsid w:val="00FC2F3F"/>
    <w:rsid w:val="00FC432B"/>
    <w:rsid w:val="00FC4404"/>
    <w:rsid w:val="00FD650D"/>
    <w:rsid w:val="00FD6CCB"/>
    <w:rsid w:val="00FE144A"/>
    <w:rsid w:val="00FE18E0"/>
    <w:rsid w:val="00FE1AE4"/>
    <w:rsid w:val="00FE239D"/>
    <w:rsid w:val="00FE26CD"/>
    <w:rsid w:val="00FE3890"/>
    <w:rsid w:val="00FE4608"/>
    <w:rsid w:val="00FE77A4"/>
    <w:rsid w:val="00FF0CC6"/>
    <w:rsid w:val="00FF1614"/>
    <w:rsid w:val="00FF179F"/>
    <w:rsid w:val="00FF29A0"/>
    <w:rsid w:val="00FF2FE0"/>
    <w:rsid w:val="00FF304E"/>
    <w:rsid w:val="00FF48B0"/>
    <w:rsid w:val="00FF58CF"/>
    <w:rsid w:val="00FF7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5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5143"/>
    <w:rPr>
      <w:rFonts w:ascii="Tahoma" w:hAnsi="Tahoma" w:cs="Tahoma"/>
      <w:sz w:val="16"/>
      <w:szCs w:val="16"/>
    </w:rPr>
  </w:style>
  <w:style w:type="character" w:customStyle="1" w:styleId="a4">
    <w:name w:val="Текст выноски Знак"/>
    <w:basedOn w:val="a0"/>
    <w:link w:val="a3"/>
    <w:uiPriority w:val="99"/>
    <w:semiHidden/>
    <w:rsid w:val="00DB5143"/>
    <w:rPr>
      <w:rFonts w:ascii="Tahoma" w:hAnsi="Tahoma" w:cs="Tahoma"/>
      <w:sz w:val="16"/>
      <w:szCs w:val="16"/>
    </w:rPr>
  </w:style>
  <w:style w:type="paragraph" w:styleId="a5">
    <w:name w:val="List Paragraph"/>
    <w:basedOn w:val="a"/>
    <w:uiPriority w:val="34"/>
    <w:qFormat/>
    <w:rsid w:val="00DB5143"/>
    <w:pPr>
      <w:ind w:left="720"/>
      <w:contextualSpacing/>
    </w:pPr>
  </w:style>
  <w:style w:type="paragraph" w:customStyle="1" w:styleId="ConsPlusCell">
    <w:name w:val="ConsPlusCell"/>
    <w:uiPriority w:val="99"/>
    <w:rsid w:val="00DB514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a6">
    <w:name w:val="Стиль"/>
    <w:basedOn w:val="a"/>
    <w:autoRedefine/>
    <w:rsid w:val="008D7F95"/>
    <w:pPr>
      <w:tabs>
        <w:tab w:val="left" w:pos="2160"/>
      </w:tabs>
      <w:spacing w:before="120" w:line="240" w:lineRule="exact"/>
      <w:jc w:val="both"/>
    </w:pPr>
    <w:rPr>
      <w:noProof/>
      <w:lang w:val="en-US"/>
    </w:rPr>
  </w:style>
  <w:style w:type="paragraph" w:styleId="a7">
    <w:name w:val="header"/>
    <w:basedOn w:val="a"/>
    <w:link w:val="a8"/>
    <w:uiPriority w:val="99"/>
    <w:unhideWhenUsed/>
    <w:rsid w:val="002B6880"/>
    <w:pPr>
      <w:tabs>
        <w:tab w:val="center" w:pos="4677"/>
        <w:tab w:val="right" w:pos="9355"/>
      </w:tabs>
    </w:pPr>
  </w:style>
  <w:style w:type="character" w:customStyle="1" w:styleId="a8">
    <w:name w:val="Верхний колонтитул Знак"/>
    <w:basedOn w:val="a0"/>
    <w:link w:val="a7"/>
    <w:uiPriority w:val="99"/>
    <w:rsid w:val="002B688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B6880"/>
    <w:pPr>
      <w:tabs>
        <w:tab w:val="center" w:pos="4677"/>
        <w:tab w:val="right" w:pos="9355"/>
      </w:tabs>
    </w:pPr>
  </w:style>
  <w:style w:type="character" w:customStyle="1" w:styleId="aa">
    <w:name w:val="Нижний колонтитул Знак"/>
    <w:basedOn w:val="a0"/>
    <w:link w:val="a9"/>
    <w:uiPriority w:val="99"/>
    <w:rsid w:val="002B6880"/>
    <w:rPr>
      <w:rFonts w:ascii="Times New Roman" w:eastAsia="Times New Roman" w:hAnsi="Times New Roman" w:cs="Times New Roman"/>
      <w:sz w:val="24"/>
      <w:szCs w:val="24"/>
      <w:lang w:eastAsia="ru-RU"/>
    </w:rPr>
  </w:style>
  <w:style w:type="paragraph" w:customStyle="1" w:styleId="ConsPlusNormal">
    <w:name w:val="ConsPlusNormal"/>
    <w:rsid w:val="004C52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Title"/>
    <w:basedOn w:val="a"/>
    <w:next w:val="a"/>
    <w:link w:val="ac"/>
    <w:uiPriority w:val="10"/>
    <w:qFormat/>
    <w:rsid w:val="004F05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4F0500"/>
    <w:rPr>
      <w:rFonts w:asciiTheme="majorHAnsi" w:eastAsiaTheme="majorEastAsia" w:hAnsiTheme="majorHAnsi" w:cstheme="majorBidi"/>
      <w:color w:val="17365D" w:themeColor="text2" w:themeShade="BF"/>
      <w:spacing w:val="5"/>
      <w:kern w:val="28"/>
      <w:sz w:val="52"/>
      <w:szCs w:val="52"/>
      <w:lang w:eastAsia="ru-RU"/>
    </w:rPr>
  </w:style>
  <w:style w:type="table" w:styleId="ad">
    <w:name w:val="Table Grid"/>
    <w:basedOn w:val="a1"/>
    <w:uiPriority w:val="59"/>
    <w:rsid w:val="00BA1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rsid w:val="00FA0C10"/>
    <w:pPr>
      <w:spacing w:after="120" w:line="360" w:lineRule="atLeast"/>
      <w:jc w:val="both"/>
    </w:pPr>
    <w:rPr>
      <w:rFonts w:ascii="Times New Roman CYR" w:hAnsi="Times New Roman CYR"/>
      <w:sz w:val="28"/>
      <w:szCs w:val="20"/>
      <w:lang w:val="x-none" w:eastAsia="x-none"/>
    </w:rPr>
  </w:style>
  <w:style w:type="character" w:customStyle="1" w:styleId="af">
    <w:name w:val="Основной текст Знак"/>
    <w:basedOn w:val="a0"/>
    <w:link w:val="ae"/>
    <w:rsid w:val="00FA0C10"/>
    <w:rPr>
      <w:rFonts w:ascii="Times New Roman CYR" w:eastAsia="Times New Roman" w:hAnsi="Times New Roman CYR" w:cs="Times New Roman"/>
      <w:sz w:val="28"/>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5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5143"/>
    <w:rPr>
      <w:rFonts w:ascii="Tahoma" w:hAnsi="Tahoma" w:cs="Tahoma"/>
      <w:sz w:val="16"/>
      <w:szCs w:val="16"/>
    </w:rPr>
  </w:style>
  <w:style w:type="character" w:customStyle="1" w:styleId="a4">
    <w:name w:val="Текст выноски Знак"/>
    <w:basedOn w:val="a0"/>
    <w:link w:val="a3"/>
    <w:uiPriority w:val="99"/>
    <w:semiHidden/>
    <w:rsid w:val="00DB5143"/>
    <w:rPr>
      <w:rFonts w:ascii="Tahoma" w:hAnsi="Tahoma" w:cs="Tahoma"/>
      <w:sz w:val="16"/>
      <w:szCs w:val="16"/>
    </w:rPr>
  </w:style>
  <w:style w:type="paragraph" w:styleId="a5">
    <w:name w:val="List Paragraph"/>
    <w:basedOn w:val="a"/>
    <w:uiPriority w:val="34"/>
    <w:qFormat/>
    <w:rsid w:val="00DB5143"/>
    <w:pPr>
      <w:ind w:left="720"/>
      <w:contextualSpacing/>
    </w:pPr>
  </w:style>
  <w:style w:type="paragraph" w:customStyle="1" w:styleId="ConsPlusCell">
    <w:name w:val="ConsPlusCell"/>
    <w:uiPriority w:val="99"/>
    <w:rsid w:val="00DB514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a6">
    <w:name w:val="Стиль"/>
    <w:basedOn w:val="a"/>
    <w:autoRedefine/>
    <w:rsid w:val="008D7F95"/>
    <w:pPr>
      <w:tabs>
        <w:tab w:val="left" w:pos="2160"/>
      </w:tabs>
      <w:spacing w:before="120" w:line="240" w:lineRule="exact"/>
      <w:jc w:val="both"/>
    </w:pPr>
    <w:rPr>
      <w:noProof/>
      <w:lang w:val="en-US"/>
    </w:rPr>
  </w:style>
  <w:style w:type="paragraph" w:styleId="a7">
    <w:name w:val="header"/>
    <w:basedOn w:val="a"/>
    <w:link w:val="a8"/>
    <w:uiPriority w:val="99"/>
    <w:unhideWhenUsed/>
    <w:rsid w:val="002B6880"/>
    <w:pPr>
      <w:tabs>
        <w:tab w:val="center" w:pos="4677"/>
        <w:tab w:val="right" w:pos="9355"/>
      </w:tabs>
    </w:pPr>
  </w:style>
  <w:style w:type="character" w:customStyle="1" w:styleId="a8">
    <w:name w:val="Верхний колонтитул Знак"/>
    <w:basedOn w:val="a0"/>
    <w:link w:val="a7"/>
    <w:uiPriority w:val="99"/>
    <w:rsid w:val="002B688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B6880"/>
    <w:pPr>
      <w:tabs>
        <w:tab w:val="center" w:pos="4677"/>
        <w:tab w:val="right" w:pos="9355"/>
      </w:tabs>
    </w:pPr>
  </w:style>
  <w:style w:type="character" w:customStyle="1" w:styleId="aa">
    <w:name w:val="Нижний колонтитул Знак"/>
    <w:basedOn w:val="a0"/>
    <w:link w:val="a9"/>
    <w:uiPriority w:val="99"/>
    <w:rsid w:val="002B6880"/>
    <w:rPr>
      <w:rFonts w:ascii="Times New Roman" w:eastAsia="Times New Roman" w:hAnsi="Times New Roman" w:cs="Times New Roman"/>
      <w:sz w:val="24"/>
      <w:szCs w:val="24"/>
      <w:lang w:eastAsia="ru-RU"/>
    </w:rPr>
  </w:style>
  <w:style w:type="paragraph" w:customStyle="1" w:styleId="ConsPlusNormal">
    <w:name w:val="ConsPlusNormal"/>
    <w:rsid w:val="004C52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Title"/>
    <w:basedOn w:val="a"/>
    <w:next w:val="a"/>
    <w:link w:val="ac"/>
    <w:uiPriority w:val="10"/>
    <w:qFormat/>
    <w:rsid w:val="004F05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4F0500"/>
    <w:rPr>
      <w:rFonts w:asciiTheme="majorHAnsi" w:eastAsiaTheme="majorEastAsia" w:hAnsiTheme="majorHAnsi" w:cstheme="majorBidi"/>
      <w:color w:val="17365D" w:themeColor="text2" w:themeShade="BF"/>
      <w:spacing w:val="5"/>
      <w:kern w:val="28"/>
      <w:sz w:val="52"/>
      <w:szCs w:val="52"/>
      <w:lang w:eastAsia="ru-RU"/>
    </w:rPr>
  </w:style>
  <w:style w:type="table" w:styleId="ad">
    <w:name w:val="Table Grid"/>
    <w:basedOn w:val="a1"/>
    <w:uiPriority w:val="59"/>
    <w:rsid w:val="00BA1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rsid w:val="00FA0C10"/>
    <w:pPr>
      <w:spacing w:after="120" w:line="360" w:lineRule="atLeast"/>
      <w:jc w:val="both"/>
    </w:pPr>
    <w:rPr>
      <w:rFonts w:ascii="Times New Roman CYR" w:hAnsi="Times New Roman CYR"/>
      <w:sz w:val="28"/>
      <w:szCs w:val="20"/>
      <w:lang w:val="x-none" w:eastAsia="x-none"/>
    </w:rPr>
  </w:style>
  <w:style w:type="character" w:customStyle="1" w:styleId="af">
    <w:name w:val="Основной текст Знак"/>
    <w:basedOn w:val="a0"/>
    <w:link w:val="ae"/>
    <w:rsid w:val="00FA0C10"/>
    <w:rPr>
      <w:rFonts w:ascii="Times New Roman CYR" w:eastAsia="Times New Roman" w:hAnsi="Times New Roman CYR" w:cs="Times New Roman"/>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20902">
      <w:bodyDiv w:val="1"/>
      <w:marLeft w:val="0"/>
      <w:marRight w:val="0"/>
      <w:marTop w:val="0"/>
      <w:marBottom w:val="0"/>
      <w:divBdr>
        <w:top w:val="none" w:sz="0" w:space="0" w:color="auto"/>
        <w:left w:val="none" w:sz="0" w:space="0" w:color="auto"/>
        <w:bottom w:val="none" w:sz="0" w:space="0" w:color="auto"/>
        <w:right w:val="none" w:sz="0" w:space="0" w:color="auto"/>
      </w:divBdr>
    </w:div>
    <w:div w:id="412556078">
      <w:bodyDiv w:val="1"/>
      <w:marLeft w:val="0"/>
      <w:marRight w:val="0"/>
      <w:marTop w:val="0"/>
      <w:marBottom w:val="0"/>
      <w:divBdr>
        <w:top w:val="none" w:sz="0" w:space="0" w:color="auto"/>
        <w:left w:val="none" w:sz="0" w:space="0" w:color="auto"/>
        <w:bottom w:val="none" w:sz="0" w:space="0" w:color="auto"/>
        <w:right w:val="none" w:sz="0" w:space="0" w:color="auto"/>
      </w:divBdr>
    </w:div>
    <w:div w:id="1049456343">
      <w:bodyDiv w:val="1"/>
      <w:marLeft w:val="0"/>
      <w:marRight w:val="0"/>
      <w:marTop w:val="0"/>
      <w:marBottom w:val="0"/>
      <w:divBdr>
        <w:top w:val="none" w:sz="0" w:space="0" w:color="auto"/>
        <w:left w:val="none" w:sz="0" w:space="0" w:color="auto"/>
        <w:bottom w:val="none" w:sz="0" w:space="0" w:color="auto"/>
        <w:right w:val="none" w:sz="0" w:space="0" w:color="auto"/>
      </w:divBdr>
    </w:div>
    <w:div w:id="1559701824">
      <w:bodyDiv w:val="1"/>
      <w:marLeft w:val="0"/>
      <w:marRight w:val="0"/>
      <w:marTop w:val="0"/>
      <w:marBottom w:val="0"/>
      <w:divBdr>
        <w:top w:val="none" w:sz="0" w:space="0" w:color="auto"/>
        <w:left w:val="none" w:sz="0" w:space="0" w:color="auto"/>
        <w:bottom w:val="none" w:sz="0" w:space="0" w:color="auto"/>
        <w:right w:val="none" w:sz="0" w:space="0" w:color="auto"/>
      </w:divBdr>
    </w:div>
    <w:div w:id="1639604285">
      <w:bodyDiv w:val="1"/>
      <w:marLeft w:val="0"/>
      <w:marRight w:val="0"/>
      <w:marTop w:val="0"/>
      <w:marBottom w:val="0"/>
      <w:divBdr>
        <w:top w:val="none" w:sz="0" w:space="0" w:color="auto"/>
        <w:left w:val="none" w:sz="0" w:space="0" w:color="auto"/>
        <w:bottom w:val="none" w:sz="0" w:space="0" w:color="auto"/>
        <w:right w:val="none" w:sz="0" w:space="0" w:color="auto"/>
      </w:divBdr>
    </w:div>
    <w:div w:id="1658414403">
      <w:bodyDiv w:val="1"/>
      <w:marLeft w:val="0"/>
      <w:marRight w:val="0"/>
      <w:marTop w:val="0"/>
      <w:marBottom w:val="0"/>
      <w:divBdr>
        <w:top w:val="none" w:sz="0" w:space="0" w:color="auto"/>
        <w:left w:val="none" w:sz="0" w:space="0" w:color="auto"/>
        <w:bottom w:val="none" w:sz="0" w:space="0" w:color="auto"/>
        <w:right w:val="none" w:sz="0" w:space="0" w:color="auto"/>
      </w:divBdr>
    </w:div>
    <w:div w:id="2015497138">
      <w:bodyDiv w:val="1"/>
      <w:marLeft w:val="0"/>
      <w:marRight w:val="0"/>
      <w:marTop w:val="0"/>
      <w:marBottom w:val="0"/>
      <w:divBdr>
        <w:top w:val="none" w:sz="0" w:space="0" w:color="auto"/>
        <w:left w:val="none" w:sz="0" w:space="0" w:color="auto"/>
        <w:bottom w:val="none" w:sz="0" w:space="0" w:color="auto"/>
        <w:right w:val="none" w:sz="0" w:space="0" w:color="auto"/>
      </w:divBdr>
    </w:div>
    <w:div w:id="21294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800" b="1" i="0" u="none" strike="noStrike" baseline="0">
                <a:solidFill>
                  <a:srgbClr val="000000"/>
                </a:solidFill>
                <a:latin typeface="Calibri"/>
                <a:ea typeface="Calibri"/>
                <a:cs typeface="Calibri"/>
              </a:defRPr>
            </a:pPr>
            <a:r>
              <a:rPr lang="ru-RU" sz="1400"/>
              <a:t>Изменения планируемых доходов,</a:t>
            </a:r>
            <a:r>
              <a:rPr lang="ru-RU" sz="1400" baseline="0"/>
              <a:t> тыс. руб.</a:t>
            </a:r>
            <a:endParaRPr lang="ru-RU" sz="1400"/>
          </a:p>
        </c:rich>
      </c:tx>
      <c:overlay val="0"/>
    </c:title>
    <c:autoTitleDeleted val="0"/>
    <c:plotArea>
      <c:layout/>
      <c:lineChart>
        <c:grouping val="standard"/>
        <c:varyColors val="0"/>
        <c:ser>
          <c:idx val="0"/>
          <c:order val="0"/>
          <c:tx>
            <c:strRef>
              <c:f>Лист1!$B$1</c:f>
              <c:strCache>
                <c:ptCount val="1"/>
                <c:pt idx="0">
                  <c:v>Собственные доходы (налоговые и неналоговые) </c:v>
                </c:pt>
              </c:strCache>
            </c:strRef>
          </c:tx>
          <c:dLbls>
            <c:dLbl>
              <c:idx val="0"/>
              <c:layout>
                <c:manualLayout>
                  <c:x val="-7.7244900701405494E-2"/>
                  <c:y val="3.2924608561860802E-2"/>
                </c:manualLayout>
              </c:layout>
              <c:showLegendKey val="0"/>
              <c:showVal val="1"/>
              <c:showCatName val="0"/>
              <c:showSerName val="0"/>
              <c:showPercent val="0"/>
              <c:showBubbleSize val="0"/>
            </c:dLbl>
            <c:dLbl>
              <c:idx val="1"/>
              <c:layout>
                <c:manualLayout>
                  <c:x val="-4.8691874266569922E-2"/>
                  <c:y val="5.5245286768176062E-2"/>
                </c:manualLayout>
              </c:layout>
              <c:showLegendKey val="0"/>
              <c:showVal val="1"/>
              <c:showCatName val="0"/>
              <c:showSerName val="0"/>
              <c:showPercent val="0"/>
              <c:showBubbleSize val="0"/>
            </c:dLbl>
            <c:dLbl>
              <c:idx val="2"/>
              <c:layout>
                <c:manualLayout>
                  <c:x val="-3.5724920050522697E-2"/>
                  <c:y val="4.7088424291791109E-2"/>
                </c:manualLayout>
              </c:layout>
              <c:showLegendKey val="0"/>
              <c:showVal val="1"/>
              <c:showCatName val="0"/>
              <c:showSerName val="0"/>
              <c:showPercent val="0"/>
              <c:showBubbleSize val="0"/>
            </c:dLbl>
            <c:dLbl>
              <c:idx val="3"/>
              <c:layout>
                <c:manualLayout>
                  <c:x val="-8.1101466412261611E-3"/>
                  <c:y val="3.3467282106978004E-2"/>
                </c:manualLayout>
              </c:layout>
              <c:showLegendKey val="0"/>
              <c:showVal val="1"/>
              <c:showCatName val="0"/>
              <c:showSerName val="0"/>
              <c:showPercent val="0"/>
              <c:showBubbleSize val="0"/>
            </c:dLbl>
            <c:txPr>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4"/>
                <c:pt idx="0">
                  <c:v>2021 г (утвержд.)</c:v>
                </c:pt>
                <c:pt idx="1">
                  <c:v>2021 проект</c:v>
                </c:pt>
                <c:pt idx="2">
                  <c:v>2022</c:v>
                </c:pt>
                <c:pt idx="3">
                  <c:v>2023</c:v>
                </c:pt>
              </c:strCache>
            </c:strRef>
          </c:cat>
          <c:val>
            <c:numRef>
              <c:f>Лист1!$B$2:$B$5</c:f>
              <c:numCache>
                <c:formatCode>#,##0.0</c:formatCode>
                <c:ptCount val="4"/>
                <c:pt idx="0">
                  <c:v>1244514</c:v>
                </c:pt>
                <c:pt idx="1">
                  <c:v>1295529</c:v>
                </c:pt>
                <c:pt idx="2">
                  <c:v>1347378</c:v>
                </c:pt>
                <c:pt idx="3">
                  <c:v>1354454</c:v>
                </c:pt>
              </c:numCache>
            </c:numRef>
          </c:val>
          <c:smooth val="0"/>
        </c:ser>
        <c:ser>
          <c:idx val="1"/>
          <c:order val="1"/>
          <c:tx>
            <c:strRef>
              <c:f>Лист1!$C$1</c:f>
              <c:strCache>
                <c:ptCount val="1"/>
                <c:pt idx="0">
                  <c:v>Дотации</c:v>
                </c:pt>
              </c:strCache>
            </c:strRef>
          </c:tx>
          <c:dLbls>
            <c:dLbl>
              <c:idx val="0"/>
              <c:layout>
                <c:manualLayout>
                  <c:x val="-6.8765866723997357E-2"/>
                  <c:y val="-6.053722008153236E-2"/>
                </c:manualLayout>
              </c:layout>
              <c:showLegendKey val="0"/>
              <c:showVal val="1"/>
              <c:showCatName val="0"/>
              <c:showSerName val="0"/>
              <c:showPercent val="0"/>
              <c:showBubbleSize val="0"/>
            </c:dLbl>
            <c:dLbl>
              <c:idx val="1"/>
              <c:layout>
                <c:manualLayout>
                  <c:x val="-6.6179355566902257E-2"/>
                  <c:y val="-6.2294868313874562E-2"/>
                </c:manualLayout>
              </c:layout>
              <c:showLegendKey val="0"/>
              <c:showVal val="1"/>
              <c:showCatName val="0"/>
              <c:showSerName val="0"/>
              <c:showPercent val="0"/>
              <c:showBubbleSize val="0"/>
            </c:dLbl>
            <c:dLbl>
              <c:idx val="2"/>
              <c:layout>
                <c:manualLayout>
                  <c:x val="-6.2095437728986951E-2"/>
                  <c:y val="-7.2516787136623698E-2"/>
                </c:manualLayout>
              </c:layout>
              <c:showLegendKey val="0"/>
              <c:showVal val="1"/>
              <c:showCatName val="0"/>
              <c:showSerName val="0"/>
              <c:showPercent val="0"/>
              <c:showBubbleSize val="0"/>
            </c:dLbl>
            <c:dLbl>
              <c:idx val="3"/>
              <c:layout>
                <c:manualLayout>
                  <c:x val="-4.2395349045533132E-2"/>
                  <c:y val="-7.25191265985368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2021 г (утвержд.)</c:v>
                </c:pt>
                <c:pt idx="1">
                  <c:v>2021 проект</c:v>
                </c:pt>
                <c:pt idx="2">
                  <c:v>2022</c:v>
                </c:pt>
                <c:pt idx="3">
                  <c:v>2023</c:v>
                </c:pt>
              </c:strCache>
            </c:strRef>
          </c:cat>
          <c:val>
            <c:numRef>
              <c:f>Лист1!$C$2:$C$5</c:f>
              <c:numCache>
                <c:formatCode>#,##0.0</c:formatCode>
                <c:ptCount val="4"/>
                <c:pt idx="0">
                  <c:v>125411.2</c:v>
                </c:pt>
                <c:pt idx="1">
                  <c:v>165898.6</c:v>
                </c:pt>
                <c:pt idx="2">
                  <c:v>96682.2</c:v>
                </c:pt>
                <c:pt idx="3">
                  <c:v>101152.9</c:v>
                </c:pt>
              </c:numCache>
            </c:numRef>
          </c:val>
          <c:smooth val="0"/>
        </c:ser>
        <c:ser>
          <c:idx val="2"/>
          <c:order val="2"/>
          <c:tx>
            <c:strRef>
              <c:f>Лист1!$D$1</c:f>
              <c:strCache>
                <c:ptCount val="1"/>
                <c:pt idx="0">
                  <c:v>Безвозмездные поступления</c:v>
                </c:pt>
              </c:strCache>
            </c:strRef>
          </c:tx>
          <c:dLbls>
            <c:dLbl>
              <c:idx val="0"/>
              <c:layout>
                <c:manualLayout>
                  <c:x val="-7.3160982863490182E-2"/>
                  <c:y val="-5.1382387546384266E-2"/>
                </c:manualLayout>
              </c:layout>
              <c:showLegendKey val="0"/>
              <c:showVal val="1"/>
              <c:showCatName val="0"/>
              <c:showSerName val="0"/>
              <c:showPercent val="0"/>
              <c:showBubbleSize val="0"/>
            </c:dLbl>
            <c:dLbl>
              <c:idx val="1"/>
              <c:layout>
                <c:manualLayout>
                  <c:x val="-5.1341090896061203E-2"/>
                  <c:y val="-3.6294687302018284E-2"/>
                </c:manualLayout>
              </c:layout>
              <c:showLegendKey val="0"/>
              <c:showVal val="1"/>
              <c:showCatName val="0"/>
              <c:showSerName val="0"/>
              <c:showPercent val="0"/>
              <c:showBubbleSize val="0"/>
            </c:dLbl>
            <c:dLbl>
              <c:idx val="2"/>
              <c:layout>
                <c:manualLayout>
                  <c:x val="-4.4981681044135698E-2"/>
                  <c:y val="-3.8890848423126942E-2"/>
                </c:manualLayout>
              </c:layout>
              <c:showLegendKey val="0"/>
              <c:showVal val="1"/>
              <c:showCatName val="0"/>
              <c:showSerName val="0"/>
              <c:showPercent val="0"/>
              <c:showBubbleSize val="0"/>
            </c:dLbl>
            <c:dLbl>
              <c:idx val="3"/>
              <c:layout>
                <c:manualLayout>
                  <c:x val="-7.0790895165408077E-3"/>
                  <c:y val="-1.616334235823049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2021 г (утвержд.)</c:v>
                </c:pt>
                <c:pt idx="1">
                  <c:v>2021 проект</c:v>
                </c:pt>
                <c:pt idx="2">
                  <c:v>2022</c:v>
                </c:pt>
                <c:pt idx="3">
                  <c:v>2023</c:v>
                </c:pt>
              </c:strCache>
            </c:strRef>
          </c:cat>
          <c:val>
            <c:numRef>
              <c:f>Лист1!$D$2:$D$5</c:f>
              <c:numCache>
                <c:formatCode>#,##0.0</c:formatCode>
                <c:ptCount val="4"/>
                <c:pt idx="0">
                  <c:v>2174993.7000000002</c:v>
                </c:pt>
                <c:pt idx="1">
                  <c:v>2240412.3000000003</c:v>
                </c:pt>
                <c:pt idx="2">
                  <c:v>2002688</c:v>
                </c:pt>
                <c:pt idx="3">
                  <c:v>1644999.0999999999</c:v>
                </c:pt>
              </c:numCache>
            </c:numRef>
          </c:val>
          <c:smooth val="0"/>
        </c:ser>
        <c:dLbls>
          <c:showLegendKey val="0"/>
          <c:showVal val="0"/>
          <c:showCatName val="0"/>
          <c:showSerName val="0"/>
          <c:showPercent val="0"/>
          <c:showBubbleSize val="0"/>
        </c:dLbls>
        <c:marker val="1"/>
        <c:smooth val="0"/>
        <c:axId val="112679936"/>
        <c:axId val="112694016"/>
      </c:lineChart>
      <c:catAx>
        <c:axId val="112679936"/>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12694016"/>
        <c:crosses val="autoZero"/>
        <c:auto val="1"/>
        <c:lblAlgn val="ctr"/>
        <c:lblOffset val="100"/>
        <c:noMultiLvlLbl val="0"/>
      </c:catAx>
      <c:valAx>
        <c:axId val="112694016"/>
        <c:scaling>
          <c:orientation val="minMax"/>
        </c:scaling>
        <c:delete val="0"/>
        <c:axPos val="l"/>
        <c:majorGridlines/>
        <c:numFmt formatCode="#,##0.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12679936"/>
        <c:crosses val="autoZero"/>
        <c:crossBetween val="between"/>
      </c:valAx>
    </c:plotArea>
    <c:legend>
      <c:legendPos val="r"/>
      <c:layout>
        <c:manualLayout>
          <c:xMode val="edge"/>
          <c:yMode val="edge"/>
          <c:x val="0.68178477690288719"/>
          <c:y val="0.19302602075402828"/>
          <c:w val="0.31821522309711286"/>
          <c:h val="0.72350522142179041"/>
        </c:manualLayout>
      </c:layout>
      <c:overlay val="0"/>
      <c:txPr>
        <a:bodyPr/>
        <a:lstStyle/>
        <a:p>
          <a:pPr rtl="0">
            <a:defRPr sz="1000" b="0" i="0" u="none" strike="noStrike" baseline="0">
              <a:solidFill>
                <a:srgbClr val="000000"/>
              </a:solidFill>
              <a:latin typeface="Calibri"/>
              <a:ea typeface="Calibri"/>
              <a:cs typeface="Calibri"/>
            </a:defRPr>
          </a:pPr>
          <a:endParaRPr lang="ru-RU"/>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Утверждено на 2021 г. (бюджет 2020-2022 г.г.)</c:v>
                </c:pt>
              </c:strCache>
            </c:strRef>
          </c:tx>
          <c:spPr>
            <a:solidFill>
              <a:srgbClr val="00B050"/>
            </a:solidFill>
          </c:spPr>
          <c:invertIfNegative val="0"/>
          <c:dLbls>
            <c:dLbl>
              <c:idx val="0"/>
              <c:layout>
                <c:manualLayout>
                  <c:x val="-4.1279669762641896E-3"/>
                  <c:y val="-1.3289036544850499E-2"/>
                </c:manualLayout>
              </c:layout>
              <c:showLegendKey val="0"/>
              <c:showVal val="1"/>
              <c:showCatName val="0"/>
              <c:showSerName val="0"/>
              <c:showPercent val="0"/>
              <c:showBubbleSize val="0"/>
            </c:dLbl>
            <c:dLbl>
              <c:idx val="1"/>
              <c:layout>
                <c:manualLayout>
                  <c:x val="4.1279669762642277E-3"/>
                  <c:y val="-2.9723991507430998E-2"/>
                </c:manualLayout>
              </c:layout>
              <c:showLegendKey val="0"/>
              <c:showVal val="1"/>
              <c:showCatName val="0"/>
              <c:showSerName val="0"/>
              <c:showPercent val="0"/>
              <c:showBubbleSize val="0"/>
            </c:dLbl>
            <c:dLbl>
              <c:idx val="2"/>
              <c:layout>
                <c:manualLayout>
                  <c:x val="-4.1279669762641896E-3"/>
                  <c:y val="-1.3289036544850499E-2"/>
                </c:manualLayout>
              </c:layout>
              <c:showLegendKey val="0"/>
              <c:showVal val="1"/>
              <c:showCatName val="0"/>
              <c:showSerName val="0"/>
              <c:showPercent val="0"/>
              <c:showBubbleSize val="0"/>
            </c:dLbl>
            <c:dLbl>
              <c:idx val="3"/>
              <c:layout>
                <c:manualLayout>
                  <c:x val="-1.0319917440660475E-2"/>
                  <c:y val="-2.6578073089700997E-2"/>
                </c:manualLayout>
              </c:layout>
              <c:showLegendKey val="0"/>
              <c:showVal val="1"/>
              <c:showCatName val="0"/>
              <c:showSerName val="0"/>
              <c:showPercent val="0"/>
              <c:showBubbleSize val="0"/>
            </c:dLbl>
            <c:dLbl>
              <c:idx val="4"/>
              <c:layout>
                <c:manualLayout>
                  <c:x val="-6.1919504643962852E-3"/>
                  <c:y val="-2.9723991507430998E-2"/>
                </c:manualLayout>
              </c:layout>
              <c:showLegendKey val="0"/>
              <c:showVal val="1"/>
              <c:showCatName val="0"/>
              <c:showSerName val="0"/>
              <c:showPercent val="0"/>
              <c:showBubbleSize val="0"/>
            </c:dLbl>
            <c:txPr>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Лист1!$A$2:$A$6</c:f>
              <c:strCache>
                <c:ptCount val="5"/>
                <c:pt idx="0">
                  <c:v>НДФЛ</c:v>
                </c:pt>
                <c:pt idx="1">
                  <c:v>Акцизы</c:v>
                </c:pt>
                <c:pt idx="2">
                  <c:v>Налоги на совокупный доход</c:v>
                </c:pt>
                <c:pt idx="3">
                  <c:v>Налоги на имущество</c:v>
                </c:pt>
                <c:pt idx="4">
                  <c:v>Гос. пошлина, сборы</c:v>
                </c:pt>
              </c:strCache>
            </c:strRef>
          </c:cat>
          <c:val>
            <c:numRef>
              <c:f>Лист1!$B$2:$B$6</c:f>
              <c:numCache>
                <c:formatCode>#,##0.0</c:formatCode>
                <c:ptCount val="5"/>
                <c:pt idx="0">
                  <c:v>793.4</c:v>
                </c:pt>
                <c:pt idx="1">
                  <c:v>13.8</c:v>
                </c:pt>
                <c:pt idx="2">
                  <c:v>11</c:v>
                </c:pt>
                <c:pt idx="3">
                  <c:v>282.5</c:v>
                </c:pt>
                <c:pt idx="4">
                  <c:v>13.5</c:v>
                </c:pt>
              </c:numCache>
            </c:numRef>
          </c:val>
        </c:ser>
        <c:ser>
          <c:idx val="1"/>
          <c:order val="1"/>
          <c:tx>
            <c:strRef>
              <c:f>Лист1!$C$1</c:f>
              <c:strCache>
                <c:ptCount val="1"/>
                <c:pt idx="0">
                  <c:v>2021 г. (проект 2021-2023 г.г.)</c:v>
                </c:pt>
              </c:strCache>
            </c:strRef>
          </c:tx>
          <c:spPr>
            <a:solidFill>
              <a:srgbClr val="FFC000"/>
            </a:solidFill>
          </c:spPr>
          <c:invertIfNegative val="0"/>
          <c:dLbls>
            <c:dLbl>
              <c:idx val="0"/>
              <c:layout>
                <c:manualLayout>
                  <c:x val="2.4067835173854042E-2"/>
                  <c:y val="-2.1225486349090085E-2"/>
                </c:manualLayout>
              </c:layout>
              <c:showLegendKey val="0"/>
              <c:showVal val="1"/>
              <c:showCatName val="0"/>
              <c:showSerName val="0"/>
              <c:showPercent val="0"/>
              <c:showBubbleSize val="0"/>
            </c:dLbl>
            <c:dLbl>
              <c:idx val="1"/>
              <c:layout>
                <c:manualLayout>
                  <c:x val="1.4274314781859698E-2"/>
                  <c:y val="-3.3136064998244646E-2"/>
                </c:manualLayout>
              </c:layout>
              <c:showLegendKey val="0"/>
              <c:showVal val="1"/>
              <c:showCatName val="0"/>
              <c:showSerName val="0"/>
              <c:showPercent val="0"/>
              <c:showBubbleSize val="0"/>
            </c:dLbl>
            <c:dLbl>
              <c:idx val="2"/>
              <c:layout>
                <c:manualLayout>
                  <c:x val="1.8139164492983268E-2"/>
                  <c:y val="-2.8055903840045471E-2"/>
                </c:manualLayout>
              </c:layout>
              <c:showLegendKey val="0"/>
              <c:showVal val="1"/>
              <c:showCatName val="0"/>
              <c:showSerName val="0"/>
              <c:showPercent val="0"/>
              <c:showBubbleSize val="0"/>
            </c:dLbl>
            <c:dLbl>
              <c:idx val="3"/>
              <c:layout>
                <c:manualLayout>
                  <c:x val="1.9455075855456225E-2"/>
                  <c:y val="3.6909339820894479E-3"/>
                </c:manualLayout>
              </c:layout>
              <c:showLegendKey val="0"/>
              <c:showVal val="1"/>
              <c:showCatName val="0"/>
              <c:showSerName val="0"/>
              <c:showPercent val="0"/>
              <c:showBubbleSize val="0"/>
            </c:dLbl>
            <c:dLbl>
              <c:idx val="4"/>
              <c:layout>
                <c:manualLayout>
                  <c:x val="1.238390092879257E-2"/>
                  <c:y val="-2.9723991507430998E-2"/>
                </c:manualLayout>
              </c:layout>
              <c:showLegendKey val="0"/>
              <c:showVal val="1"/>
              <c:showCatName val="0"/>
              <c:showSerName val="0"/>
              <c:showPercent val="0"/>
              <c:showBubbleSize val="0"/>
            </c:dLbl>
            <c:txPr>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Лист1!$A$2:$A$6</c:f>
              <c:strCache>
                <c:ptCount val="5"/>
                <c:pt idx="0">
                  <c:v>НДФЛ</c:v>
                </c:pt>
                <c:pt idx="1">
                  <c:v>Акцизы</c:v>
                </c:pt>
                <c:pt idx="2">
                  <c:v>Налоги на совокупный доход</c:v>
                </c:pt>
                <c:pt idx="3">
                  <c:v>Налоги на имущество</c:v>
                </c:pt>
                <c:pt idx="4">
                  <c:v>Гос. пошлина, сборы</c:v>
                </c:pt>
              </c:strCache>
            </c:strRef>
          </c:cat>
          <c:val>
            <c:numRef>
              <c:f>Лист1!$C$2:$C$6</c:f>
              <c:numCache>
                <c:formatCode>#,##0.0</c:formatCode>
                <c:ptCount val="5"/>
                <c:pt idx="0">
                  <c:v>766.6</c:v>
                </c:pt>
                <c:pt idx="1">
                  <c:v>14.9</c:v>
                </c:pt>
                <c:pt idx="2">
                  <c:v>10.9</c:v>
                </c:pt>
                <c:pt idx="3">
                  <c:v>293.8</c:v>
                </c:pt>
                <c:pt idx="4">
                  <c:v>13.6</c:v>
                </c:pt>
              </c:numCache>
            </c:numRef>
          </c:val>
        </c:ser>
        <c:dLbls>
          <c:showLegendKey val="0"/>
          <c:showVal val="0"/>
          <c:showCatName val="0"/>
          <c:showSerName val="0"/>
          <c:showPercent val="0"/>
          <c:showBubbleSize val="0"/>
        </c:dLbls>
        <c:gapWidth val="150"/>
        <c:shape val="cylinder"/>
        <c:axId val="113277184"/>
        <c:axId val="113307648"/>
        <c:axId val="0"/>
      </c:bar3DChart>
      <c:catAx>
        <c:axId val="113277184"/>
        <c:scaling>
          <c:orientation val="minMax"/>
        </c:scaling>
        <c:delete val="0"/>
        <c:axPos val="b"/>
        <c:numFmt formatCode="General" sourceLinked="1"/>
        <c:majorTickMark val="out"/>
        <c:minorTickMark val="none"/>
        <c:tickLblPos val="nextTo"/>
        <c:txPr>
          <a:bodyPr rot="-2700000" vert="horz"/>
          <a:lstStyle/>
          <a:p>
            <a:pPr>
              <a:defRPr sz="1000" b="0" i="0" u="none" strike="noStrike" baseline="0">
                <a:solidFill>
                  <a:srgbClr val="000000"/>
                </a:solidFill>
                <a:latin typeface="Times New Roman"/>
                <a:ea typeface="Times New Roman"/>
                <a:cs typeface="Times New Roman"/>
              </a:defRPr>
            </a:pPr>
            <a:endParaRPr lang="ru-RU"/>
          </a:p>
        </c:txPr>
        <c:crossAx val="113307648"/>
        <c:crosses val="autoZero"/>
        <c:auto val="1"/>
        <c:lblAlgn val="ctr"/>
        <c:lblOffset val="100"/>
        <c:noMultiLvlLbl val="0"/>
      </c:catAx>
      <c:valAx>
        <c:axId val="113307648"/>
        <c:scaling>
          <c:orientation val="minMax"/>
        </c:scaling>
        <c:delete val="0"/>
        <c:axPos val="l"/>
        <c:numFmt formatCode="#,##0.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13277184"/>
        <c:crosses val="autoZero"/>
        <c:crossBetween val="between"/>
      </c:valAx>
      <c:spPr>
        <a:noFill/>
        <a:ln w="25401">
          <a:noFill/>
        </a:ln>
      </c:spPr>
    </c:plotArea>
    <c:legend>
      <c:legendPos val="t"/>
      <c:overlay val="0"/>
      <c:txPr>
        <a:bodyPr/>
        <a:lstStyle/>
        <a:p>
          <a:pPr>
            <a:defRPr sz="1000" b="0" i="0" u="none" strike="noStrike" baseline="0">
              <a:solidFill>
                <a:srgbClr val="000000"/>
              </a:solidFill>
              <a:latin typeface="Times New Roman" panose="02020603050405020304" pitchFamily="18" charset="0"/>
              <a:ea typeface="Calibri"/>
              <a:cs typeface="Calibri"/>
            </a:defRPr>
          </a:pPr>
          <a:endParaRPr lang="ru-RU"/>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5034013605442174E-2"/>
          <c:y val="0.10397553516819572"/>
          <c:w val="0.45578231292517007"/>
          <c:h val="0.81957186544342508"/>
        </c:manualLayout>
      </c:layout>
      <c:pieChart>
        <c:varyColors val="1"/>
        <c:ser>
          <c:idx val="0"/>
          <c:order val="0"/>
          <c:tx>
            <c:strRef>
              <c:f>Sheet1!$A$2</c:f>
              <c:strCache>
                <c:ptCount val="1"/>
              </c:strCache>
            </c:strRef>
          </c:tx>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Lbls>
            <c:dLbl>
              <c:idx val="0"/>
              <c:layout>
                <c:manualLayout>
                  <c:x val="-0.15240934521342728"/>
                  <c:y val="-0.30612771326432853"/>
                </c:manualLayout>
              </c:layout>
              <c:dLblPos val="bestFit"/>
              <c:showLegendKey val="0"/>
              <c:showVal val="1"/>
              <c:showCatName val="0"/>
              <c:showSerName val="0"/>
              <c:showPercent val="0"/>
              <c:showBubbleSize val="0"/>
            </c:dLbl>
            <c:dLbl>
              <c:idx val="1"/>
              <c:layout>
                <c:manualLayout>
                  <c:x val="3.0701754385964911E-2"/>
                  <c:y val="2.9132456365802941E-2"/>
                </c:manualLayout>
              </c:layout>
              <c:dLblPos val="bestFit"/>
              <c:showLegendKey val="0"/>
              <c:showVal val="1"/>
              <c:showCatName val="0"/>
              <c:showSerName val="0"/>
              <c:showPercent val="0"/>
              <c:showBubbleSize val="0"/>
            </c:dLbl>
            <c:dLbl>
              <c:idx val="2"/>
              <c:layout>
                <c:manualLayout>
                  <c:x val="-3.8732214394253346E-2"/>
                  <c:y val="4.0490042602241483E-2"/>
                </c:manualLayout>
              </c:layout>
              <c:dLblPos val="bestFit"/>
              <c:showLegendKey val="0"/>
              <c:showVal val="1"/>
              <c:showCatName val="0"/>
              <c:showSerName val="0"/>
              <c:showPercent val="0"/>
              <c:showBubbleSize val="0"/>
            </c:dLbl>
            <c:dLbl>
              <c:idx val="3"/>
              <c:layout>
                <c:manualLayout>
                  <c:x val="-5.1910830225169222E-2"/>
                  <c:y val="1.9436591197613741E-3"/>
                </c:manualLayout>
              </c:layout>
              <c:dLblPos val="bestFit"/>
              <c:showLegendKey val="0"/>
              <c:showVal val="1"/>
              <c:showCatName val="0"/>
              <c:showSerName val="0"/>
              <c:showPercent val="0"/>
              <c:showBubbleSize val="0"/>
            </c:dLbl>
            <c:dLbl>
              <c:idx val="4"/>
              <c:layout>
                <c:manualLayout>
                  <c:x val="3.6429410139522033E-3"/>
                  <c:y val="-2.4365678325817583E-2"/>
                </c:manualLayout>
              </c:layout>
              <c:dLblPos val="bestFit"/>
              <c:showLegendKey val="0"/>
              <c:showVal val="1"/>
              <c:showCatName val="0"/>
              <c:showSerName val="0"/>
              <c:showPercent val="0"/>
              <c:showBubbleSize val="0"/>
            </c:dLbl>
            <c:dLbl>
              <c:idx val="5"/>
              <c:layout>
                <c:manualLayout>
                  <c:x val="6.7354261638347804E-2"/>
                  <c:y val="-2.4552910114722305E-2"/>
                </c:manualLayout>
              </c:layout>
              <c:dLblPos val="bestFit"/>
              <c:showLegendKey val="0"/>
              <c:showVal val="1"/>
              <c:showCatName val="0"/>
              <c:showSerName val="0"/>
              <c:showPercent val="0"/>
              <c:showBubbleSize val="0"/>
            </c:dLbl>
            <c:spPr>
              <a:noFill/>
              <a:ln w="25399">
                <a:noFill/>
              </a:ln>
            </c:spPr>
            <c:txPr>
              <a:bodyPr/>
              <a:lstStyle/>
              <a:p>
                <a:pPr>
                  <a:defRPr sz="18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Sheet1!$B$1:$G$1</c:f>
              <c:strCache>
                <c:ptCount val="6"/>
                <c:pt idx="0">
                  <c:v>Доходы от использования имущ-ва, находящегося в госуд и муниц. собственности, 150 362,0 тыс. руб.</c:v>
                </c:pt>
                <c:pt idx="1">
                  <c:v>Платежи при пользовании природными ресурсами, 8 283,0 тыс. руб.</c:v>
                </c:pt>
                <c:pt idx="2">
                  <c:v>Доходы от оказания платных услуг, 16 335,0 тыс. руб.</c:v>
                </c:pt>
                <c:pt idx="3">
                  <c:v>Доходы от продажи материальных и нематериальных активов, 3 922,0 тыс. руб.</c:v>
                </c:pt>
                <c:pt idx="4">
                  <c:v>Штрафы, санкции, возмещение ущерба, 15 000,0 тыс. руб.</c:v>
                </c:pt>
                <c:pt idx="5">
                  <c:v>Прочие неналоговые доходы, 1 797,0 тыс. руб.</c:v>
                </c:pt>
              </c:strCache>
            </c:strRef>
          </c:cat>
          <c:val>
            <c:numRef>
              <c:f>Sheet1!$B$2:$G$2</c:f>
              <c:numCache>
                <c:formatCode>#,##0</c:formatCode>
                <c:ptCount val="6"/>
                <c:pt idx="0">
                  <c:v>150362</c:v>
                </c:pt>
                <c:pt idx="1">
                  <c:v>8283</c:v>
                </c:pt>
                <c:pt idx="2">
                  <c:v>16335</c:v>
                </c:pt>
                <c:pt idx="3">
                  <c:v>3922</c:v>
                </c:pt>
                <c:pt idx="4">
                  <c:v>15000</c:v>
                </c:pt>
                <c:pt idx="5">
                  <c:v>1797</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cat>
            <c:strRef>
              <c:f>Sheet1!$B$1:$G$1</c:f>
              <c:strCache>
                <c:ptCount val="6"/>
                <c:pt idx="0">
                  <c:v>Доходы от использования имущ-ва, находящегося в госуд и муниц. собственности, 150 362,0 тыс. руб.</c:v>
                </c:pt>
                <c:pt idx="1">
                  <c:v>Платежи при пользовании природными ресурсами, 8 283,0 тыс. руб.</c:v>
                </c:pt>
                <c:pt idx="2">
                  <c:v>Доходы от оказания платных услуг, 16 335,0 тыс. руб.</c:v>
                </c:pt>
                <c:pt idx="3">
                  <c:v>Доходы от продажи материальных и нематериальных активов, 3 922,0 тыс. руб.</c:v>
                </c:pt>
                <c:pt idx="4">
                  <c:v>Штрафы, санкции, возмещение ущерба, 15 000,0 тыс. руб.</c:v>
                </c:pt>
                <c:pt idx="5">
                  <c:v>Прочие неналоговые доходы, 1 797,0 тыс. руб.</c:v>
                </c:pt>
              </c:strCache>
            </c:strRef>
          </c:cat>
          <c:val>
            <c:numRef>
              <c:f>Sheet1!$B$3:$G$3</c:f>
              <c:numCache>
                <c:formatCode>#,##0.0</c:formatCode>
                <c:ptCount val="6"/>
                <c:pt idx="0">
                  <c:v>76.833300119060397</c:v>
                </c:pt>
                <c:pt idx="1">
                  <c:v>4.2325203501295361</c:v>
                </c:pt>
                <c:pt idx="2">
                  <c:v>8.3470022841200002</c:v>
                </c:pt>
                <c:pt idx="3">
                  <c:v>2.0040981302919278</c:v>
                </c:pt>
                <c:pt idx="4">
                  <c:v>7.6648322168227745</c:v>
                </c:pt>
                <c:pt idx="5">
                  <c:v>0.91824689957536831</c:v>
                </c:pt>
              </c:numCache>
            </c:numRef>
          </c:val>
        </c:ser>
        <c:ser>
          <c:idx val="2"/>
          <c:order val="2"/>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2"/>
            <c:bubble3D val="0"/>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cat>
            <c:strRef>
              <c:f>Sheet1!$B$1:$G$1</c:f>
              <c:strCache>
                <c:ptCount val="6"/>
                <c:pt idx="0">
                  <c:v>Доходы от использования имущ-ва, находящегося в госуд и муниц. собственности, 150 362,0 тыс. руб.</c:v>
                </c:pt>
                <c:pt idx="1">
                  <c:v>Платежи при пользовании природными ресурсами, 8 283,0 тыс. руб.</c:v>
                </c:pt>
                <c:pt idx="2">
                  <c:v>Доходы от оказания платных услуг, 16 335,0 тыс. руб.</c:v>
                </c:pt>
                <c:pt idx="3">
                  <c:v>Доходы от продажи материальных и нематериальных активов, 3 922,0 тыс. руб.</c:v>
                </c:pt>
                <c:pt idx="4">
                  <c:v>Штрафы, санкции, возмещение ущерба, 15 000,0 тыс. руб.</c:v>
                </c:pt>
                <c:pt idx="5">
                  <c:v>Прочие неналоговые доходы, 1 797,0 тыс. руб.</c:v>
                </c:pt>
              </c:strCache>
            </c:strRef>
          </c:cat>
          <c:val>
            <c:numRef>
              <c:f>Sheet1!$B$4:$G$4</c:f>
              <c:numCache>
                <c:formatCode>General</c:formatCode>
                <c:ptCount val="6"/>
              </c:numCache>
            </c:numRef>
          </c:val>
        </c:ser>
        <c:dLbls>
          <c:showLegendKey val="0"/>
          <c:showVal val="0"/>
          <c:showCatName val="0"/>
          <c:showSerName val="0"/>
          <c:showPercent val="0"/>
          <c:showBubbleSize val="0"/>
          <c:showLeaderLines val="1"/>
        </c:dLbls>
        <c:firstSliceAng val="0"/>
      </c:pieChart>
      <c:spPr>
        <a:noFill/>
        <a:ln w="12700">
          <a:solidFill>
            <a:srgbClr val="808080"/>
          </a:solidFill>
          <a:prstDash val="solid"/>
        </a:ln>
      </c:spPr>
    </c:plotArea>
    <c:legend>
      <c:legendPos val="r"/>
      <c:layout>
        <c:manualLayout>
          <c:xMode val="edge"/>
          <c:yMode val="edge"/>
          <c:x val="0.57996483772861729"/>
          <c:y val="7.7478445758078454E-2"/>
          <c:w val="0.38596491228070173"/>
          <c:h val="0.86086871188579173"/>
        </c:manualLayout>
      </c:layout>
      <c:overlay val="0"/>
      <c:spPr>
        <a:noFill/>
        <a:ln w="3175">
          <a:solidFill>
            <a:srgbClr val="000000"/>
          </a:solidFill>
          <a:prstDash val="solid"/>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1425" b="1" i="0" u="none" strike="noStrike" baseline="0">
          <a:solidFill>
            <a:srgbClr val="000000"/>
          </a:solidFill>
          <a:latin typeface="Calibri"/>
          <a:ea typeface="Calibri"/>
          <a:cs typeface="Calibri"/>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Доходы, получаемые в виде арендной платы за зем. участки, гос. собственность на которые не разграничена и которые расположены в границах гор. округов, а также средства от продажи права на заключение договоров аренды  зем. участков 110 500 тыс. руб.</c:v>
                </c:pt>
              </c:strCache>
            </c:strRef>
          </c:tx>
          <c:spPr>
            <a:solidFill>
              <a:srgbClr val="00B050"/>
            </a:solidFill>
          </c:spPr>
          <c:invertIfNegative val="0"/>
          <c:dLbls>
            <c:dLbl>
              <c:idx val="0"/>
              <c:layout>
                <c:manualLayout>
                  <c:x val="6.9464544138929094E-2"/>
                  <c:y val="-2.380952380952380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1"/>
                <c:pt idx="0">
                  <c:v>Категория 1</c:v>
                </c:pt>
              </c:strCache>
            </c:strRef>
          </c:cat>
          <c:val>
            <c:numRef>
              <c:f>Лист1!$B$2:$B$5</c:f>
              <c:numCache>
                <c:formatCode>General</c:formatCode>
                <c:ptCount val="4"/>
                <c:pt idx="0">
                  <c:v>110500</c:v>
                </c:pt>
              </c:numCache>
            </c:numRef>
          </c:val>
        </c:ser>
        <c:ser>
          <c:idx val="1"/>
          <c:order val="1"/>
          <c:tx>
            <c:strRef>
              <c:f>Лист1!$C$1</c:f>
              <c:strCache>
                <c:ptCount val="1"/>
                <c:pt idx="0">
                  <c:v>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 земельных участков муниц. бюджетных и автономных учреждений) - 7 300,0 тыс. руб.</c:v>
                </c:pt>
              </c:strCache>
            </c:strRef>
          </c:tx>
          <c:spPr>
            <a:solidFill>
              <a:srgbClr val="7030A0"/>
            </a:solidFill>
          </c:spPr>
          <c:invertIfNegative val="0"/>
          <c:dLbls>
            <c:dLbl>
              <c:idx val="0"/>
              <c:layout>
                <c:manualLayout>
                  <c:x val="-4.0520984081041968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1"/>
                <c:pt idx="0">
                  <c:v>Категория 1</c:v>
                </c:pt>
              </c:strCache>
            </c:strRef>
          </c:cat>
          <c:val>
            <c:numRef>
              <c:f>Лист1!$C$2:$C$5</c:f>
              <c:numCache>
                <c:formatCode>General</c:formatCode>
                <c:ptCount val="4"/>
                <c:pt idx="0">
                  <c:v>7300</c:v>
                </c:pt>
              </c:numCache>
            </c:numRef>
          </c:val>
        </c:ser>
        <c:ser>
          <c:idx val="2"/>
          <c:order val="2"/>
          <c:tx>
            <c:strRef>
              <c:f>Лист1!$D$1</c:f>
              <c:strCache>
                <c:ptCount val="1"/>
                <c:pt idx="0">
                  <c:v>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- 5 300,0 тыс. руб.</c:v>
                </c:pt>
              </c:strCache>
            </c:strRef>
          </c:tx>
          <c:spPr>
            <a:solidFill>
              <a:srgbClr val="FFC000"/>
            </a:solidFill>
          </c:spPr>
          <c:invertIfNegative val="0"/>
          <c:dLbls>
            <c:dLbl>
              <c:idx val="0"/>
              <c:layout>
                <c:manualLayout>
                  <c:x val="6.7534973468403287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1"/>
                <c:pt idx="0">
                  <c:v>Категория 1</c:v>
                </c:pt>
              </c:strCache>
            </c:strRef>
          </c:cat>
          <c:val>
            <c:numRef>
              <c:f>Лист1!$D$2:$D$5</c:f>
              <c:numCache>
                <c:formatCode>General</c:formatCode>
                <c:ptCount val="4"/>
                <c:pt idx="0">
                  <c:v>5300</c:v>
                </c:pt>
              </c:numCache>
            </c:numRef>
          </c:val>
        </c:ser>
        <c:ser>
          <c:idx val="3"/>
          <c:order val="3"/>
          <c:tx>
            <c:strRef>
              <c:f>Лист1!$E$1</c:f>
              <c:strCache>
                <c:ptCount val="1"/>
                <c:pt idx="0">
                  <c:v>Плата по соглашениям об установлении сервитута, заключенным органами мест. самоуправления городских округов, гос. или муниц. предприятиями  или учреждениями в отношении земельных участков, гос. собственность на которые не разграничена -17 200,0 тыс. руб.</c:v>
                </c:pt>
              </c:strCache>
            </c:strRef>
          </c:tx>
          <c:spPr>
            <a:solidFill>
              <a:srgbClr val="FF0000"/>
            </a:solidFill>
          </c:spPr>
          <c:invertIfNegative val="0"/>
          <c:dLbls>
            <c:dLbl>
              <c:idx val="0"/>
              <c:layout>
                <c:manualLayout>
                  <c:x val="-4.0520984081041968E-2"/>
                  <c:y val="-7.9365079365079361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1"/>
                <c:pt idx="0">
                  <c:v>Категория 1</c:v>
                </c:pt>
              </c:strCache>
            </c:strRef>
          </c:cat>
          <c:val>
            <c:numRef>
              <c:f>Лист1!$E$2:$E$5</c:f>
              <c:numCache>
                <c:formatCode>General</c:formatCode>
                <c:ptCount val="4"/>
                <c:pt idx="0">
                  <c:v>17200</c:v>
                </c:pt>
              </c:numCache>
            </c:numRef>
          </c:val>
        </c:ser>
        <c:ser>
          <c:idx val="4"/>
          <c:order val="4"/>
          <c:tx>
            <c:strRef>
              <c:f>Лист1!$F$1</c:f>
              <c:strCache>
                <c:ptCount val="1"/>
                <c:pt idx="0">
                  <c:v>Прочие поступления от использования имущества, находящегося в собственности городских округов - 9 402,0 тыс. руб.</c:v>
                </c:pt>
              </c:strCache>
            </c:strRef>
          </c:tx>
          <c:invertIfNegative val="0"/>
          <c:dLbls>
            <c:dLbl>
              <c:idx val="0"/>
              <c:layout>
                <c:manualLayout>
                  <c:x val="6.7534973468403287E-2"/>
                  <c:y val="-4.878049965976475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1"/>
                <c:pt idx="0">
                  <c:v>Категория 1</c:v>
                </c:pt>
              </c:strCache>
            </c:strRef>
          </c:cat>
          <c:val>
            <c:numRef>
              <c:f>Лист1!$F$2:$F$5</c:f>
              <c:numCache>
                <c:formatCode>General</c:formatCode>
                <c:ptCount val="4"/>
                <c:pt idx="0">
                  <c:v>9402</c:v>
                </c:pt>
              </c:numCache>
            </c:numRef>
          </c:val>
        </c:ser>
        <c:ser>
          <c:idx val="5"/>
          <c:order val="5"/>
          <c:tx>
            <c:strRef>
              <c:f>Лист1!$G$1</c:f>
              <c:strCache>
                <c:ptCount val="1"/>
                <c:pt idx="0">
                  <c:v>Доходы от перечисления части прибыли муниципальных унитарных предприятий,  - 660,0 тыс. руб.</c:v>
                </c:pt>
              </c:strCache>
            </c:strRef>
          </c:tx>
          <c:invertIfNegative val="0"/>
          <c:dLbls>
            <c:dLbl>
              <c:idx val="0"/>
              <c:layout>
                <c:manualLayout>
                  <c:x val="-2.3154848046309694E-2"/>
                  <c:y val="-4.629629629629629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1"/>
                <c:pt idx="0">
                  <c:v>Категория 1</c:v>
                </c:pt>
              </c:strCache>
            </c:strRef>
          </c:cat>
          <c:val>
            <c:numRef>
              <c:f>Лист1!$G$2:$G$5</c:f>
              <c:numCache>
                <c:formatCode>General</c:formatCode>
                <c:ptCount val="4"/>
                <c:pt idx="0">
                  <c:v>660</c:v>
                </c:pt>
              </c:numCache>
            </c:numRef>
          </c:val>
        </c:ser>
        <c:dLbls>
          <c:showLegendKey val="0"/>
          <c:showVal val="0"/>
          <c:showCatName val="0"/>
          <c:showSerName val="0"/>
          <c:showPercent val="0"/>
          <c:showBubbleSize val="0"/>
        </c:dLbls>
        <c:gapWidth val="150"/>
        <c:shape val="cylinder"/>
        <c:axId val="113267072"/>
        <c:axId val="113268608"/>
        <c:axId val="0"/>
      </c:bar3DChart>
      <c:catAx>
        <c:axId val="113267072"/>
        <c:scaling>
          <c:orientation val="minMax"/>
        </c:scaling>
        <c:delete val="1"/>
        <c:axPos val="b"/>
        <c:majorTickMark val="out"/>
        <c:minorTickMark val="none"/>
        <c:tickLblPos val="nextTo"/>
        <c:crossAx val="113268608"/>
        <c:crosses val="autoZero"/>
        <c:auto val="1"/>
        <c:lblAlgn val="ctr"/>
        <c:lblOffset val="100"/>
        <c:noMultiLvlLbl val="0"/>
      </c:catAx>
      <c:valAx>
        <c:axId val="113268608"/>
        <c:scaling>
          <c:orientation val="minMax"/>
        </c:scaling>
        <c:delete val="0"/>
        <c:axPos val="l"/>
        <c:numFmt formatCode="0%" sourceLinked="1"/>
        <c:majorTickMark val="out"/>
        <c:minorTickMark val="none"/>
        <c:tickLblPos val="nextTo"/>
        <c:crossAx val="113267072"/>
        <c:crosses val="autoZero"/>
        <c:crossBetween val="between"/>
      </c:valAx>
    </c:plotArea>
    <c:legend>
      <c:legendPos val="r"/>
      <c:layout>
        <c:manualLayout>
          <c:xMode val="edge"/>
          <c:yMode val="edge"/>
          <c:x val="0.31968427969658642"/>
          <c:y val="1.1835326139788109E-4"/>
          <c:w val="0.67100820067534972"/>
          <c:h val="0.87548848060659079"/>
        </c:manualLayout>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027439751849201"/>
          <c:y val="9.8485115686668845E-2"/>
          <c:w val="0.71962029746281719"/>
          <c:h val="0.67209528784331929"/>
        </c:manualLayout>
      </c:layout>
      <c:barChart>
        <c:barDir val="col"/>
        <c:grouping val="clustered"/>
        <c:varyColors val="0"/>
        <c:ser>
          <c:idx val="1"/>
          <c:order val="0"/>
          <c:tx>
            <c:strRef>
              <c:f>Лист1!$A$1</c:f>
              <c:strCache>
                <c:ptCount val="1"/>
                <c:pt idx="0">
                  <c:v>Программые расходы</c:v>
                </c:pt>
              </c:strCache>
            </c:strRef>
          </c:tx>
          <c:spPr>
            <a:solidFill>
              <a:srgbClr val="FF6600"/>
            </a:solidFill>
            <a:ln w="12700">
              <a:solidFill>
                <a:srgbClr val="000000"/>
              </a:solidFill>
              <a:prstDash val="solid"/>
            </a:ln>
          </c:spPr>
          <c:invertIfNegative val="0"/>
          <c:dLbls>
            <c:dLbl>
              <c:idx val="0"/>
              <c:layout>
                <c:manualLayout>
                  <c:x val="2.0201406574919976E-3"/>
                  <c:y val="0.21277137232845894"/>
                </c:manualLayout>
              </c:layout>
              <c:showLegendKey val="0"/>
              <c:showVal val="1"/>
              <c:showCatName val="0"/>
              <c:showSerName val="0"/>
              <c:showPercent val="0"/>
              <c:showBubbleSize val="0"/>
            </c:dLbl>
            <c:dLbl>
              <c:idx val="1"/>
              <c:layout>
                <c:manualLayout>
                  <c:x val="-3.956478733926805E-3"/>
                  <c:y val="0.27563976377952754"/>
                </c:manualLayout>
              </c:layout>
              <c:showLegendKey val="0"/>
              <c:showVal val="1"/>
              <c:showCatName val="0"/>
              <c:showSerName val="0"/>
              <c:showPercent val="0"/>
              <c:showBubbleSize val="0"/>
            </c:dLbl>
            <c:dLbl>
              <c:idx val="2"/>
              <c:layout>
                <c:manualLayout>
                  <c:x val="2.0620419480205923E-3"/>
                  <c:y val="0.25372469066366704"/>
                </c:manualLayout>
              </c:layout>
              <c:showLegendKey val="0"/>
              <c:showVal val="1"/>
              <c:showCatName val="0"/>
              <c:showSerName val="0"/>
              <c:showPercent val="0"/>
              <c:showBubbleSize val="0"/>
            </c:dLbl>
            <c:dLbl>
              <c:idx val="3"/>
              <c:layout>
                <c:manualLayout>
                  <c:x val="-2.0697872888588314E-3"/>
                  <c:y val="0.36970962340114727"/>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Лист1!$A$14:$A$17</c:f>
              <c:strCache>
                <c:ptCount val="4"/>
                <c:pt idx="0">
                  <c:v>Утверждено на 2021 г.</c:v>
                </c:pt>
                <c:pt idx="1">
                  <c:v>Проект на 2021 г.</c:v>
                </c:pt>
                <c:pt idx="2">
                  <c:v>Проект на 2022 г.</c:v>
                </c:pt>
                <c:pt idx="3">
                  <c:v>Проект на 2023 г.</c:v>
                </c:pt>
              </c:strCache>
            </c:strRef>
          </c:cat>
          <c:val>
            <c:numRef>
              <c:f>Лист1!$B$1:$E$1</c:f>
              <c:numCache>
                <c:formatCode>#,##0.00</c:formatCode>
                <c:ptCount val="4"/>
                <c:pt idx="0" formatCode="#,##0">
                  <c:v>3494834</c:v>
                </c:pt>
                <c:pt idx="1">
                  <c:v>3833308.1</c:v>
                </c:pt>
                <c:pt idx="2">
                  <c:v>3326458.7</c:v>
                </c:pt>
                <c:pt idx="3">
                  <c:v>2874464.1</c:v>
                </c:pt>
              </c:numCache>
            </c:numRef>
          </c:val>
        </c:ser>
        <c:ser>
          <c:idx val="0"/>
          <c:order val="1"/>
          <c:tx>
            <c:strRef>
              <c:f>Лист1!$A$2</c:f>
              <c:strCache>
                <c:ptCount val="1"/>
                <c:pt idx="0">
                  <c:v>Непрограммые расходы</c:v>
                </c:pt>
              </c:strCache>
            </c:strRef>
          </c:tx>
          <c:spPr>
            <a:solidFill>
              <a:srgbClr val="00B050"/>
            </a:solidFill>
            <a:ln w="12700">
              <a:solidFill>
                <a:srgbClr val="000000"/>
              </a:solidFill>
              <a:prstDash val="solid"/>
            </a:ln>
          </c:spPr>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Лист1!$A$14:$A$17</c:f>
              <c:strCache>
                <c:ptCount val="4"/>
                <c:pt idx="0">
                  <c:v>Утверждено на 2021 г.</c:v>
                </c:pt>
                <c:pt idx="1">
                  <c:v>Проект на 2021 г.</c:v>
                </c:pt>
                <c:pt idx="2">
                  <c:v>Проект на 2022 г.</c:v>
                </c:pt>
                <c:pt idx="3">
                  <c:v>Проект на 2023 г.</c:v>
                </c:pt>
              </c:strCache>
            </c:strRef>
          </c:cat>
          <c:val>
            <c:numRef>
              <c:f>Лист1!$B$2:$E$2</c:f>
              <c:numCache>
                <c:formatCode>#,##0.00</c:formatCode>
                <c:ptCount val="4"/>
                <c:pt idx="0">
                  <c:v>188628.1</c:v>
                </c:pt>
                <c:pt idx="1">
                  <c:v>36391.300000000003</c:v>
                </c:pt>
                <c:pt idx="2">
                  <c:v>120289.5</c:v>
                </c:pt>
                <c:pt idx="3">
                  <c:v>226141.9</c:v>
                </c:pt>
              </c:numCache>
            </c:numRef>
          </c:val>
        </c:ser>
        <c:dLbls>
          <c:showLegendKey val="0"/>
          <c:showVal val="0"/>
          <c:showCatName val="0"/>
          <c:showSerName val="0"/>
          <c:showPercent val="0"/>
          <c:showBubbleSize val="0"/>
        </c:dLbls>
        <c:gapWidth val="150"/>
        <c:axId val="113325568"/>
        <c:axId val="113327104"/>
      </c:barChart>
      <c:lineChart>
        <c:grouping val="standard"/>
        <c:varyColors val="0"/>
        <c:ser>
          <c:idx val="2"/>
          <c:order val="2"/>
          <c:tx>
            <c:strRef>
              <c:f>Лист1!$A$3</c:f>
              <c:strCache>
                <c:ptCount val="1"/>
                <c:pt idx="0">
                  <c:v>Всего расходы</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dLbls>
            <c:dLbl>
              <c:idx val="0"/>
              <c:layout>
                <c:manualLayout>
                  <c:x val="-7.9591111941867798E-2"/>
                  <c:y val="-4.7852924634420695E-2"/>
                </c:manualLayout>
              </c:layout>
              <c:showLegendKey val="0"/>
              <c:showVal val="1"/>
              <c:showCatName val="0"/>
              <c:showSerName val="0"/>
              <c:showPercent val="0"/>
              <c:showBubbleSize val="0"/>
            </c:dLbl>
            <c:dLbl>
              <c:idx val="1"/>
              <c:layout>
                <c:manualLayout>
                  <c:x val="-2.2222222222222223E-2"/>
                  <c:y val="-2.6195153896529117E-2"/>
                </c:manualLayout>
              </c:layout>
              <c:showLegendKey val="0"/>
              <c:showVal val="1"/>
              <c:showCatName val="0"/>
              <c:showSerName val="0"/>
              <c:showPercent val="0"/>
              <c:showBubbleSize val="0"/>
            </c:dLbl>
            <c:dLbl>
              <c:idx val="2"/>
              <c:layout>
                <c:manualLayout>
                  <c:x val="-1.2121212121212121E-2"/>
                  <c:y val="-3.4053700065487906E-2"/>
                </c:manualLayout>
              </c:layout>
              <c:showLegendKey val="0"/>
              <c:showVal val="1"/>
              <c:showCatName val="0"/>
              <c:showSerName val="0"/>
              <c:showPercent val="0"/>
              <c:showBubbleSize val="0"/>
            </c:dLbl>
            <c:dLbl>
              <c:idx val="3"/>
              <c:layout>
                <c:manualLayout>
                  <c:x val="-3.0303030303030304E-2"/>
                  <c:y val="-4.453176162409953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val>
            <c:numRef>
              <c:f>Лист1!$B$3:$E$3</c:f>
              <c:numCache>
                <c:formatCode>#,##0.00</c:formatCode>
                <c:ptCount val="4"/>
                <c:pt idx="0">
                  <c:v>3683462</c:v>
                </c:pt>
                <c:pt idx="1">
                  <c:v>3869699.4</c:v>
                </c:pt>
                <c:pt idx="2">
                  <c:v>3446748.2</c:v>
                </c:pt>
                <c:pt idx="3" formatCode="#,##0">
                  <c:v>3100606</c:v>
                </c:pt>
              </c:numCache>
            </c:numRef>
          </c:val>
          <c:smooth val="0"/>
        </c:ser>
        <c:dLbls>
          <c:showLegendKey val="0"/>
          <c:showVal val="0"/>
          <c:showCatName val="0"/>
          <c:showSerName val="0"/>
          <c:showPercent val="0"/>
          <c:showBubbleSize val="0"/>
        </c:dLbls>
        <c:marker val="1"/>
        <c:smooth val="0"/>
        <c:axId val="113349376"/>
        <c:axId val="113350912"/>
      </c:lineChart>
      <c:catAx>
        <c:axId val="11332556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3327104"/>
        <c:crosses val="autoZero"/>
        <c:auto val="0"/>
        <c:lblAlgn val="ctr"/>
        <c:lblOffset val="100"/>
        <c:tickLblSkip val="1"/>
        <c:tickMarkSkip val="1"/>
        <c:noMultiLvlLbl val="0"/>
      </c:catAx>
      <c:valAx>
        <c:axId val="113327104"/>
        <c:scaling>
          <c:orientation val="minMax"/>
        </c:scaling>
        <c:delete val="0"/>
        <c:axPos val="l"/>
        <c:numFmt formatCode="#,##0"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13325568"/>
        <c:crosses val="autoZero"/>
        <c:crossBetween val="between"/>
      </c:valAx>
      <c:catAx>
        <c:axId val="113349376"/>
        <c:scaling>
          <c:orientation val="minMax"/>
        </c:scaling>
        <c:delete val="1"/>
        <c:axPos val="b"/>
        <c:majorTickMark val="out"/>
        <c:minorTickMark val="none"/>
        <c:tickLblPos val="nextTo"/>
        <c:crossAx val="113350912"/>
        <c:crosses val="autoZero"/>
        <c:auto val="0"/>
        <c:lblAlgn val="ctr"/>
        <c:lblOffset val="100"/>
        <c:noMultiLvlLbl val="0"/>
      </c:catAx>
      <c:valAx>
        <c:axId val="113350912"/>
        <c:scaling>
          <c:orientation val="minMax"/>
        </c:scaling>
        <c:delete val="1"/>
        <c:axPos val="l"/>
        <c:numFmt formatCode="#,##0.00" sourceLinked="1"/>
        <c:majorTickMark val="out"/>
        <c:minorTickMark val="none"/>
        <c:tickLblPos val="nextTo"/>
        <c:crossAx val="113349376"/>
        <c:crosses val="autoZero"/>
        <c:crossBetween val="between"/>
      </c:valAx>
      <c:spPr>
        <a:solidFill>
          <a:srgbClr val="C0C0C0"/>
        </a:solidFill>
        <a:ln w="12700">
          <a:solidFill>
            <a:srgbClr val="808080"/>
          </a:solidFill>
          <a:prstDash val="solid"/>
        </a:ln>
      </c:spPr>
    </c:plotArea>
    <c:legend>
      <c:legendPos val="r"/>
      <c:legendEntry>
        <c:idx val="0"/>
        <c:txPr>
          <a:bodyPr/>
          <a:lstStyle/>
          <a:p>
            <a:pPr>
              <a:defRPr sz="800" b="0" i="0" u="none" strike="noStrike" baseline="0">
                <a:solidFill>
                  <a:srgbClr val="000000"/>
                </a:solidFill>
                <a:latin typeface="Arial"/>
                <a:ea typeface="Arial"/>
                <a:cs typeface="Arial"/>
              </a:defRPr>
            </a:pPr>
            <a:endParaRPr lang="ru-RU"/>
          </a:p>
        </c:txPr>
      </c:legendEntry>
      <c:legendEntry>
        <c:idx val="1"/>
        <c:txPr>
          <a:bodyPr/>
          <a:lstStyle/>
          <a:p>
            <a:pPr>
              <a:defRPr sz="800" b="0" i="0" u="none" strike="noStrike" baseline="0">
                <a:solidFill>
                  <a:srgbClr val="000000"/>
                </a:solidFill>
                <a:latin typeface="Arial"/>
                <a:ea typeface="Arial"/>
                <a:cs typeface="Arial"/>
              </a:defRPr>
            </a:pPr>
            <a:endParaRPr lang="ru-RU"/>
          </a:p>
        </c:txPr>
      </c:legendEntry>
      <c:legendEntry>
        <c:idx val="2"/>
        <c:txPr>
          <a:bodyPr/>
          <a:lstStyle/>
          <a:p>
            <a:pPr>
              <a:defRPr sz="800" b="0" i="0" u="none" strike="noStrike" baseline="0">
                <a:solidFill>
                  <a:srgbClr val="000000"/>
                </a:solidFill>
                <a:latin typeface="Arial"/>
                <a:ea typeface="Arial"/>
                <a:cs typeface="Arial"/>
              </a:defRPr>
            </a:pPr>
            <a:endParaRPr lang="ru-RU"/>
          </a:p>
        </c:txPr>
      </c:legendEntry>
      <c:layout>
        <c:manualLayout>
          <c:xMode val="edge"/>
          <c:yMode val="edge"/>
          <c:x val="0.82620345184124711"/>
          <c:y val="0.21038215016836057"/>
          <c:w val="0.15948604151753759"/>
          <c:h val="0.54381737646251982"/>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0469798657718122"/>
          <c:y val="0.10289389067524116"/>
          <c:w val="0.55033557046979864"/>
          <c:h val="0.41800643086816719"/>
        </c:manualLayout>
      </c:layout>
      <c:pie3DChart>
        <c:varyColors val="1"/>
        <c:ser>
          <c:idx val="0"/>
          <c:order val="0"/>
          <c:tx>
            <c:strRef>
              <c:f>Sheet1!$A$2</c:f>
              <c:strCache>
                <c:ptCount val="1"/>
              </c:strCache>
            </c:strRef>
          </c:tx>
          <c:spPr>
            <a:solidFill>
              <a:srgbClr val="9999FF"/>
            </a:solidFill>
            <a:ln w="12699">
              <a:solidFill>
                <a:srgbClr val="000000"/>
              </a:solidFill>
              <a:prstDash val="solid"/>
            </a:ln>
          </c:spPr>
          <c:explosion val="25"/>
          <c:dPt>
            <c:idx val="0"/>
            <c:bubble3D val="0"/>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FFC00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dLbls>
            <c:dLbl>
              <c:idx val="0"/>
              <c:layout>
                <c:manualLayout>
                  <c:x val="-4.3959628401712941E-2"/>
                  <c:y val="-7.4904702332769149E-2"/>
                </c:manualLayout>
              </c:layout>
              <c:dLblPos val="bestFit"/>
              <c:showLegendKey val="0"/>
              <c:showVal val="1"/>
              <c:showCatName val="0"/>
              <c:showSerName val="0"/>
              <c:showPercent val="0"/>
              <c:showBubbleSize val="0"/>
            </c:dLbl>
            <c:dLbl>
              <c:idx val="1"/>
              <c:layout>
                <c:manualLayout>
                  <c:x val="1.6069991869172514E-2"/>
                  <c:y val="-0.14390813808669986"/>
                </c:manualLayout>
              </c:layout>
              <c:dLblPos val="bestFit"/>
              <c:showLegendKey val="0"/>
              <c:showVal val="1"/>
              <c:showCatName val="0"/>
              <c:showSerName val="0"/>
              <c:showPercent val="0"/>
              <c:showBubbleSize val="0"/>
            </c:dLbl>
            <c:dLbl>
              <c:idx val="2"/>
              <c:layout>
                <c:manualLayout>
                  <c:x val="4.6786237114214459E-2"/>
                  <c:y val="-0.12065711262006545"/>
                </c:manualLayout>
              </c:layout>
              <c:dLblPos val="bestFit"/>
              <c:showLegendKey val="0"/>
              <c:showVal val="1"/>
              <c:showCatName val="0"/>
              <c:showSerName val="0"/>
              <c:showPercent val="0"/>
              <c:showBubbleSize val="0"/>
            </c:dLbl>
            <c:dLbl>
              <c:idx val="3"/>
              <c:layout>
                <c:manualLayout>
                  <c:x val="5.8305532532117697E-2"/>
                  <c:y val="-9.1964252132034893E-2"/>
                </c:manualLayout>
              </c:layout>
              <c:dLblPos val="bestFit"/>
              <c:showLegendKey val="0"/>
              <c:showVal val="1"/>
              <c:showCatName val="0"/>
              <c:showSerName val="0"/>
              <c:showPercent val="0"/>
              <c:showBubbleSize val="0"/>
            </c:dLbl>
            <c:dLbl>
              <c:idx val="4"/>
              <c:layout>
                <c:manualLayout>
                  <c:x val="3.050492485242591E-2"/>
                  <c:y val="1.3507968624455644E-2"/>
                </c:manualLayout>
              </c:layout>
              <c:dLblPos val="bestFit"/>
              <c:showLegendKey val="0"/>
              <c:showVal val="1"/>
              <c:showCatName val="0"/>
              <c:showSerName val="0"/>
              <c:showPercent val="0"/>
              <c:showBubbleSize val="0"/>
            </c:dLbl>
            <c:dLbl>
              <c:idx val="5"/>
              <c:layout>
                <c:manualLayout>
                  <c:x val="9.4200856471888389E-2"/>
                  <c:y val="-0.16945634132182075"/>
                </c:manualLayout>
              </c:layout>
              <c:dLblPos val="bestFit"/>
              <c:showLegendKey val="0"/>
              <c:showVal val="1"/>
              <c:showCatName val="0"/>
              <c:showSerName val="0"/>
              <c:showPercent val="0"/>
              <c:showBubbleSize val="0"/>
            </c:dLbl>
            <c:dLbl>
              <c:idx val="6"/>
              <c:layout>
                <c:manualLayout>
                  <c:x val="-5.5967157065893079E-2"/>
                  <c:y val="2.1416014586961678E-2"/>
                </c:manualLayout>
              </c:layout>
              <c:dLblPos val="bestFit"/>
              <c:showLegendKey val="0"/>
              <c:showVal val="1"/>
              <c:showCatName val="0"/>
              <c:showSerName val="0"/>
              <c:showPercent val="0"/>
              <c:showBubbleSize val="0"/>
            </c:dLbl>
            <c:dLbl>
              <c:idx val="7"/>
              <c:layout>
                <c:manualLayout>
                  <c:x val="-7.8361306810332917E-2"/>
                  <c:y val="-6.5358418982673888E-2"/>
                </c:manualLayout>
              </c:layout>
              <c:dLblPos val="bestFit"/>
              <c:showLegendKey val="0"/>
              <c:showVal val="1"/>
              <c:showCatName val="0"/>
              <c:showSerName val="0"/>
              <c:showPercent val="0"/>
              <c:showBubbleSize val="0"/>
            </c:dLbl>
            <c:dLbl>
              <c:idx val="8"/>
              <c:layout>
                <c:manualLayout>
                  <c:x val="-8.5774968918358886E-3"/>
                  <c:y val="-6.4229728293309127E-2"/>
                </c:manualLayout>
              </c:layout>
              <c:dLblPos val="bestFit"/>
              <c:showLegendKey val="0"/>
              <c:showVal val="1"/>
              <c:showCatName val="0"/>
              <c:showSerName val="0"/>
              <c:showPercent val="0"/>
              <c:showBubbleSize val="0"/>
            </c:dLbl>
            <c:dLbl>
              <c:idx val="9"/>
              <c:layout>
                <c:manualLayout>
                  <c:x val="5.9169084127641942E-2"/>
                  <c:y val="-7.7629128134684103E-2"/>
                </c:manualLayout>
              </c:layout>
              <c:dLblPos val="bestFit"/>
              <c:showLegendKey val="0"/>
              <c:showVal val="1"/>
              <c:showCatName val="0"/>
              <c:showSerName val="0"/>
              <c:showPercent val="0"/>
              <c:showBubbleSize val="0"/>
            </c:dLbl>
            <c:dLbl>
              <c:idx val="10"/>
              <c:layout>
                <c:manualLayout>
                  <c:x val="3.973768578291894E-2"/>
                  <c:y val="-5.833643529480833E-2"/>
                </c:manualLayout>
              </c:layout>
              <c:dLblPos val="bestFit"/>
              <c:showLegendKey val="0"/>
              <c:showVal val="1"/>
              <c:showCatName val="0"/>
              <c:showSerName val="0"/>
              <c:showPercent val="0"/>
              <c:showBubbleSize val="0"/>
            </c:dLbl>
            <c:spPr>
              <a:noFill/>
              <a:ln w="25399">
                <a:noFill/>
              </a:ln>
            </c:spPr>
            <c:txPr>
              <a:bodyPr/>
              <a:lstStyle/>
              <a:p>
                <a:pPr>
                  <a:defRPr sz="11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Sheet1!$B$2:$J$2</c:f>
              <c:numCache>
                <c:formatCode>#,##0.0</c:formatCode>
                <c:ptCount val="9"/>
                <c:pt idx="0">
                  <c:v>379815.7</c:v>
                </c:pt>
                <c:pt idx="1">
                  <c:v>38108.800000000003</c:v>
                </c:pt>
                <c:pt idx="2">
                  <c:v>362055.4</c:v>
                </c:pt>
                <c:pt idx="3">
                  <c:v>432867</c:v>
                </c:pt>
                <c:pt idx="4" formatCode="0.0">
                  <c:v>465</c:v>
                </c:pt>
                <c:pt idx="5">
                  <c:v>2170188.9</c:v>
                </c:pt>
                <c:pt idx="6">
                  <c:v>169670.3</c:v>
                </c:pt>
                <c:pt idx="7">
                  <c:v>219505.2</c:v>
                </c:pt>
                <c:pt idx="8">
                  <c:v>97023.2</c:v>
                </c:pt>
              </c:numCache>
            </c:numRef>
          </c:val>
        </c:ser>
        <c:ser>
          <c:idx val="1"/>
          <c:order val="1"/>
          <c:tx>
            <c:strRef>
              <c:f>Sheet1!$A$3</c:f>
              <c:strCache>
                <c:ptCount val="1"/>
              </c:strCache>
            </c:strRef>
          </c:tx>
          <c:spPr>
            <a:solidFill>
              <a:srgbClr val="993366"/>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Sheet1!$B$3:$J$3</c:f>
              <c:numCache>
                <c:formatCode>General</c:formatCode>
                <c:ptCount val="9"/>
              </c:numCache>
            </c:numRef>
          </c:val>
        </c:ser>
        <c:ser>
          <c:idx val="2"/>
          <c:order val="2"/>
          <c:tx>
            <c:strRef>
              <c:f>Sheet1!$A$4</c:f>
              <c:strCache>
                <c:ptCount val="1"/>
              </c:strCache>
            </c:strRef>
          </c:tx>
          <c:spPr>
            <a:solidFill>
              <a:srgbClr val="FFFFCC"/>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Sheet1!$B$4:$J$4</c:f>
              <c:numCache>
                <c:formatCode>General</c:formatCode>
                <c:ptCount val="9"/>
              </c:numCache>
            </c:numRef>
          </c:val>
        </c:ser>
        <c:ser>
          <c:idx val="3"/>
          <c:order val="3"/>
          <c:tx>
            <c:strRef>
              <c:f>Sheet1!$A$5</c:f>
              <c:strCache>
                <c:ptCount val="1"/>
              </c:strCache>
            </c:strRef>
          </c:tx>
          <c:spPr>
            <a:solidFill>
              <a:srgbClr val="CCFFFF"/>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Sheet1!$B$5:$J$5</c:f>
              <c:numCache>
                <c:formatCode>General</c:formatCode>
                <c:ptCount val="9"/>
              </c:numCache>
            </c:numRef>
          </c:val>
        </c:ser>
        <c:ser>
          <c:idx val="4"/>
          <c:order val="4"/>
          <c:tx>
            <c:strRef>
              <c:f>Sheet1!$A$6</c:f>
              <c:strCache>
                <c:ptCount val="1"/>
              </c:strCache>
            </c:strRef>
          </c:tx>
          <c:spPr>
            <a:solidFill>
              <a:srgbClr val="660066"/>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Sheet1!$B$6:$J$6</c:f>
              <c:numCache>
                <c:formatCode>General</c:formatCode>
                <c:ptCount val="9"/>
              </c:numCache>
            </c:numRef>
          </c:val>
        </c:ser>
        <c:ser>
          <c:idx val="5"/>
          <c:order val="5"/>
          <c:tx>
            <c:strRef>
              <c:f>Sheet1!$A$7</c:f>
              <c:strCache>
                <c:ptCount val="1"/>
              </c:strCache>
            </c:strRef>
          </c:tx>
          <c:spPr>
            <a:solidFill>
              <a:srgbClr val="FF8080"/>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Sheet1!$B$7:$J$7</c:f>
              <c:numCache>
                <c:formatCode>General</c:formatCode>
                <c:ptCount val="9"/>
              </c:numCache>
            </c:numRef>
          </c:val>
        </c:ser>
        <c:ser>
          <c:idx val="6"/>
          <c:order val="6"/>
          <c:tx>
            <c:strRef>
              <c:f>Sheet1!$A$8</c:f>
              <c:strCache>
                <c:ptCount val="1"/>
              </c:strCache>
            </c:strRef>
          </c:tx>
          <c:spPr>
            <a:solidFill>
              <a:srgbClr val="0066CC"/>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Sheet1!$B$8:$J$8</c:f>
              <c:numCache>
                <c:formatCode>General</c:formatCode>
                <c:ptCount val="9"/>
              </c:numCache>
            </c:numRef>
          </c:val>
        </c:ser>
        <c:ser>
          <c:idx val="7"/>
          <c:order val="7"/>
          <c:tx>
            <c:strRef>
              <c:f>Sheet1!$A$9</c:f>
              <c:strCache>
                <c:ptCount val="1"/>
              </c:strCache>
            </c:strRef>
          </c:tx>
          <c:spPr>
            <a:solidFill>
              <a:srgbClr val="CCCCFF"/>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Sheet1!$B$9:$J$9</c:f>
              <c:numCache>
                <c:formatCode>General</c:formatCode>
                <c:ptCount val="9"/>
              </c:numCache>
            </c:numRef>
          </c:val>
        </c:ser>
        <c:ser>
          <c:idx val="8"/>
          <c:order val="8"/>
          <c:tx>
            <c:strRef>
              <c:f>Sheet1!$A$10</c:f>
              <c:strCache>
                <c:ptCount val="1"/>
              </c:strCache>
            </c:strRef>
          </c:tx>
          <c:spPr>
            <a:solidFill>
              <a:srgbClr val="000080"/>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Sheet1!$B$10:$J$10</c:f>
              <c:numCache>
                <c:formatCode>General</c:formatCode>
                <c:ptCount val="9"/>
              </c:numCache>
            </c:numRef>
          </c:val>
        </c:ser>
        <c:ser>
          <c:idx val="9"/>
          <c:order val="9"/>
          <c:tx>
            <c:strRef>
              <c:f>Sheet1!$A$11</c:f>
              <c:strCache>
                <c:ptCount val="1"/>
              </c:strCache>
            </c:strRef>
          </c:tx>
          <c:spPr>
            <a:solidFill>
              <a:srgbClr val="FF00FF"/>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Sheet1!$B$11:$J$11</c:f>
              <c:numCache>
                <c:formatCode>General</c:formatCode>
                <c:ptCount val="9"/>
              </c:numCache>
            </c:numRef>
          </c:val>
        </c:ser>
        <c:ser>
          <c:idx val="10"/>
          <c:order val="10"/>
          <c:tx>
            <c:strRef>
              <c:f>Sheet1!$A$12</c:f>
              <c:strCache>
                <c:ptCount val="1"/>
              </c:strCache>
            </c:strRef>
          </c:tx>
          <c:spPr>
            <a:solidFill>
              <a:srgbClr val="FFFF00"/>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Sheet1!$B$12:$J$12</c:f>
              <c:numCache>
                <c:formatCode>General</c:formatCode>
                <c:ptCount val="9"/>
              </c:numCache>
            </c:numRef>
          </c:val>
        </c:ser>
        <c:ser>
          <c:idx val="11"/>
          <c:order val="11"/>
          <c:tx>
            <c:strRef>
              <c:f>Sheet1!$A$13</c:f>
              <c:strCache>
                <c:ptCount val="1"/>
              </c:strCache>
            </c:strRef>
          </c:tx>
          <c:spPr>
            <a:solidFill>
              <a:srgbClr val="00FFFF"/>
            </a:solidFill>
            <a:ln w="12699">
              <a:solidFill>
                <a:srgbClr val="000000"/>
              </a:solidFill>
              <a:prstDash val="solid"/>
            </a:ln>
          </c:spPr>
          <c:explosion val="25"/>
          <c:dPt>
            <c:idx val="0"/>
            <c:bubble3D val="0"/>
            <c:spPr>
              <a:solidFill>
                <a:srgbClr val="9999FF"/>
              </a:solidFill>
              <a:ln w="12699">
                <a:solidFill>
                  <a:srgbClr val="000000"/>
                </a:solidFill>
                <a:prstDash val="solid"/>
              </a:ln>
            </c:spPr>
          </c:dPt>
          <c:dPt>
            <c:idx val="1"/>
            <c:bubble3D val="0"/>
            <c:spPr>
              <a:solidFill>
                <a:srgbClr val="993366"/>
              </a:solidFill>
              <a:ln w="12699">
                <a:solidFill>
                  <a:srgbClr val="000000"/>
                </a:solidFill>
                <a:prstDash val="solid"/>
              </a:ln>
            </c:spPr>
          </c:dPt>
          <c:dPt>
            <c:idx val="2"/>
            <c:bubble3D val="0"/>
            <c:spPr>
              <a:solidFill>
                <a:srgbClr val="FFFFCC"/>
              </a:solidFill>
              <a:ln w="12699">
                <a:solidFill>
                  <a:srgbClr val="000000"/>
                </a:solidFill>
                <a:prstDash val="solid"/>
              </a:ln>
            </c:spPr>
          </c:dPt>
          <c:dPt>
            <c:idx val="3"/>
            <c:bubble3D val="0"/>
            <c:spPr>
              <a:solidFill>
                <a:srgbClr val="CCFFFF"/>
              </a:solidFill>
              <a:ln w="12699">
                <a:solidFill>
                  <a:srgbClr val="000000"/>
                </a:solidFill>
                <a:prstDash val="solid"/>
              </a:ln>
            </c:spPr>
          </c:dPt>
          <c:dPt>
            <c:idx val="4"/>
            <c:bubble3D val="0"/>
            <c:spPr>
              <a:solidFill>
                <a:srgbClr val="660066"/>
              </a:solidFill>
              <a:ln w="12699">
                <a:solidFill>
                  <a:srgbClr val="000000"/>
                </a:solidFill>
                <a:prstDash val="solid"/>
              </a:ln>
            </c:spPr>
          </c:dPt>
          <c:dPt>
            <c:idx val="5"/>
            <c:bubble3D val="0"/>
            <c:spPr>
              <a:solidFill>
                <a:srgbClr val="FF8080"/>
              </a:solidFill>
              <a:ln w="12699">
                <a:solidFill>
                  <a:srgbClr val="000000"/>
                </a:solidFill>
                <a:prstDash val="solid"/>
              </a:ln>
            </c:spPr>
          </c:dPt>
          <c:dPt>
            <c:idx val="6"/>
            <c:bubble3D val="0"/>
            <c:spPr>
              <a:solidFill>
                <a:srgbClr val="0066CC"/>
              </a:solidFill>
              <a:ln w="12699">
                <a:solidFill>
                  <a:srgbClr val="000000"/>
                </a:solidFill>
                <a:prstDash val="solid"/>
              </a:ln>
            </c:spPr>
          </c:dPt>
          <c:dPt>
            <c:idx val="7"/>
            <c:bubble3D val="0"/>
            <c:spPr>
              <a:solidFill>
                <a:srgbClr val="CCCCFF"/>
              </a:solidFill>
              <a:ln w="12699">
                <a:solidFill>
                  <a:srgbClr val="000000"/>
                </a:solidFill>
                <a:prstDash val="solid"/>
              </a:ln>
            </c:spPr>
          </c:dPt>
          <c:dPt>
            <c:idx val="8"/>
            <c:bubble3D val="0"/>
            <c:spPr>
              <a:solidFill>
                <a:srgbClr val="000080"/>
              </a:solidFill>
              <a:ln w="12699">
                <a:solidFill>
                  <a:srgbClr val="000000"/>
                </a:solidFill>
                <a:prstDash val="solid"/>
              </a:ln>
            </c:spPr>
          </c:dPt>
          <c:dPt>
            <c:idx val="9"/>
            <c:bubble3D val="0"/>
            <c:spPr>
              <a:solidFill>
                <a:srgbClr val="FF00FF"/>
              </a:solidFill>
              <a:ln w="12699">
                <a:solidFill>
                  <a:srgbClr val="000000"/>
                </a:solidFill>
                <a:prstDash val="solid"/>
              </a:ln>
            </c:spPr>
          </c:dPt>
          <c:dPt>
            <c:idx val="10"/>
            <c:bubble3D val="0"/>
            <c:spPr>
              <a:solidFill>
                <a:srgbClr val="FFFF00"/>
              </a:solidFill>
              <a:ln w="12699">
                <a:solidFill>
                  <a:srgbClr val="000000"/>
                </a:solidFill>
                <a:prstDash val="solid"/>
              </a:ln>
            </c:spPr>
          </c:dPt>
          <c:cat>
            <c:strRef>
              <c:f>Sheet1!$B$1:$J$1</c:f>
              <c:strCache>
                <c:ptCount val="9"/>
                <c:pt idx="0">
                  <c:v>Общегосударственные вопросы 379 815,7</c:v>
                </c:pt>
                <c:pt idx="1">
                  <c:v>Национальная безопасность 38 108,8</c:v>
                </c:pt>
                <c:pt idx="2">
                  <c:v>Национальная экономика 362 055,4</c:v>
                </c:pt>
                <c:pt idx="3">
                  <c:v>Жилищно-коммунальное хозяйство 432 867,0</c:v>
                </c:pt>
                <c:pt idx="4">
                  <c:v>Охрана окружающей среды 465,0</c:v>
                </c:pt>
                <c:pt idx="5">
                  <c:v>Образование 2 170 188,9</c:v>
                </c:pt>
                <c:pt idx="6">
                  <c:v>Культура 169 670,3</c:v>
                </c:pt>
                <c:pt idx="7">
                  <c:v>Социальная политика 219 505,2</c:v>
                </c:pt>
                <c:pt idx="8">
                  <c:v>Физическая культура и спорт 97 023,2</c:v>
                </c:pt>
              </c:strCache>
            </c:strRef>
          </c:cat>
          <c:val>
            <c:numRef>
              <c:f>Sheet1!$B$13:$J$13</c:f>
              <c:numCache>
                <c:formatCode>General</c:formatCode>
                <c:ptCount val="9"/>
              </c:numCache>
            </c:numRef>
          </c:val>
        </c:ser>
        <c:dLbls>
          <c:showLegendKey val="0"/>
          <c:showVal val="0"/>
          <c:showCatName val="0"/>
          <c:showSerName val="0"/>
          <c:showPercent val="0"/>
          <c:showBubbleSize val="0"/>
          <c:showLeaderLines val="1"/>
        </c:dLbls>
      </c:pie3DChart>
      <c:spPr>
        <a:noFill/>
        <a:ln w="12699">
          <a:solidFill>
            <a:srgbClr val="808080"/>
          </a:solidFill>
          <a:prstDash val="solid"/>
        </a:ln>
      </c:spPr>
    </c:plotArea>
    <c:legend>
      <c:legendPos val="b"/>
      <c:layout>
        <c:manualLayout>
          <c:xMode val="edge"/>
          <c:yMode val="edge"/>
          <c:x val="2.0134228187919462E-2"/>
          <c:y val="0.57556270096463025"/>
          <c:w val="0.93288590604026844"/>
          <c:h val="0.41479099678456594"/>
        </c:manualLayout>
      </c:layout>
      <c:overlay val="0"/>
      <c:spPr>
        <a:noFill/>
        <a:ln w="3175">
          <a:solidFill>
            <a:srgbClr val="000000"/>
          </a:solidFill>
          <a:prstDash val="solid"/>
        </a:ln>
      </c:spPr>
      <c:txPr>
        <a:bodyPr/>
        <a:lstStyle/>
        <a:p>
          <a:pPr>
            <a:defRPr sz="920" b="1"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Доля в общем объеме расходов, предусмотренных на МП в 2021 г., ( %)</a:t>
            </a:r>
          </a:p>
        </c:rich>
      </c:tx>
      <c:layout>
        <c:manualLayout>
          <c:xMode val="edge"/>
          <c:yMode val="edge"/>
          <c:x val="2.5415444770283482E-2"/>
          <c:y val="0"/>
        </c:manualLayout>
      </c:layout>
      <c:overlay val="0"/>
    </c:title>
    <c:autoTitleDeleted val="0"/>
    <c:plotArea>
      <c:layout>
        <c:manualLayout>
          <c:layoutTarget val="inner"/>
          <c:xMode val="edge"/>
          <c:yMode val="edge"/>
          <c:x val="0.13049653250821652"/>
          <c:y val="0.17637767279090114"/>
          <c:w val="0.3997410734215408"/>
          <c:h val="0.72699576552930889"/>
        </c:manualLayout>
      </c:layout>
      <c:doughnutChart>
        <c:varyColors val="1"/>
        <c:ser>
          <c:idx val="0"/>
          <c:order val="0"/>
          <c:tx>
            <c:strRef>
              <c:f>Лист1!$B$1</c:f>
              <c:strCache>
                <c:ptCount val="1"/>
                <c:pt idx="0">
                  <c:v>Продажи</c:v>
                </c:pt>
              </c:strCache>
            </c:strRef>
          </c:tx>
          <c:spPr>
            <a:scene3d>
              <a:camera prst="orthographicFront"/>
              <a:lightRig rig="threePt" dir="t"/>
            </a:scene3d>
            <a:sp3d>
              <a:bevelT/>
            </a:sp3d>
          </c:spPr>
          <c:dPt>
            <c:idx val="0"/>
            <c:bubble3D val="0"/>
            <c:spPr>
              <a:solidFill>
                <a:srgbClr val="00B050"/>
              </a:solidFill>
              <a:scene3d>
                <a:camera prst="orthographicFront"/>
                <a:lightRig rig="threePt" dir="t"/>
              </a:scene3d>
              <a:sp3d>
                <a:bevelT/>
              </a:sp3d>
            </c:spPr>
          </c:dPt>
          <c:dPt>
            <c:idx val="1"/>
            <c:bubble3D val="0"/>
            <c:spPr>
              <a:solidFill>
                <a:srgbClr val="0070C0"/>
              </a:solidFill>
              <a:scene3d>
                <a:camera prst="orthographicFront"/>
                <a:lightRig rig="threePt" dir="t"/>
              </a:scene3d>
              <a:sp3d>
                <a:bevelT/>
              </a:sp3d>
            </c:spPr>
          </c:dPt>
          <c:dPt>
            <c:idx val="4"/>
            <c:bubble3D val="0"/>
            <c:spPr>
              <a:solidFill>
                <a:srgbClr val="FF0000"/>
              </a:solidFill>
              <a:scene3d>
                <a:camera prst="orthographicFront"/>
                <a:lightRig rig="threePt" dir="t"/>
              </a:scene3d>
              <a:sp3d>
                <a:bevelT/>
              </a:sp3d>
            </c:spPr>
          </c:dPt>
          <c:dPt>
            <c:idx val="5"/>
            <c:bubble3D val="0"/>
            <c:spPr>
              <a:solidFill>
                <a:srgbClr val="FF00FF"/>
              </a:solidFill>
              <a:scene3d>
                <a:camera prst="orthographicFront"/>
                <a:lightRig rig="threePt" dir="t"/>
              </a:scene3d>
              <a:sp3d>
                <a:bevelT/>
              </a:sp3d>
            </c:spPr>
          </c:dPt>
          <c:dPt>
            <c:idx val="8"/>
            <c:bubble3D val="0"/>
            <c:spPr>
              <a:solidFill>
                <a:srgbClr val="FFFF00"/>
              </a:solidFill>
              <a:scene3d>
                <a:camera prst="orthographicFront"/>
                <a:lightRig rig="threePt" dir="t"/>
              </a:scene3d>
              <a:sp3d>
                <a:bevelT/>
              </a:sp3d>
            </c:spPr>
          </c:dPt>
          <c:dLbls>
            <c:dLbl>
              <c:idx val="1"/>
              <c:layout>
                <c:manualLayout>
                  <c:x val="-7.820290792096736E-3"/>
                  <c:y val="5.6751077860419802E-2"/>
                </c:manualLayout>
              </c:layout>
              <c:showLegendKey val="0"/>
              <c:showVal val="1"/>
              <c:showCatName val="0"/>
              <c:showSerName val="0"/>
              <c:showPercent val="0"/>
              <c:showBubbleSize val="0"/>
            </c:dLbl>
            <c:dLbl>
              <c:idx val="2"/>
              <c:layout>
                <c:manualLayout>
                  <c:x val="9.7752306535421017E-3"/>
                  <c:y val="-2.2146640274302444E-2"/>
                </c:manualLayout>
              </c:layout>
              <c:showLegendKey val="0"/>
              <c:showVal val="1"/>
              <c:showCatName val="0"/>
              <c:showSerName val="0"/>
              <c:showPercent val="0"/>
              <c:showBubbleSize val="0"/>
            </c:dLbl>
            <c:dLbl>
              <c:idx val="3"/>
              <c:layout>
                <c:manualLayout>
                  <c:x val="-5.278592375366567E-2"/>
                  <c:y val="3.7072291171359815E-2"/>
                </c:manualLayout>
              </c:layout>
              <c:showLegendKey val="0"/>
              <c:showVal val="1"/>
              <c:showCatName val="0"/>
              <c:showSerName val="0"/>
              <c:showPercent val="0"/>
              <c:showBubbleSize val="0"/>
            </c:dLbl>
            <c:dLbl>
              <c:idx val="6"/>
              <c:layout>
                <c:manualLayout>
                  <c:x val="-5.278566057311835E-2"/>
                  <c:y val="-9.5866729210567214E-2"/>
                </c:manualLayout>
              </c:layout>
              <c:showLegendKey val="0"/>
              <c:showVal val="1"/>
              <c:showCatName val="0"/>
              <c:showSerName val="0"/>
              <c:showPercent val="0"/>
              <c:showBubbleSize val="0"/>
            </c:dLbl>
            <c:dLbl>
              <c:idx val="7"/>
              <c:layout>
                <c:manualLayout>
                  <c:x val="-9.7749227819584165E-3"/>
                  <c:y val="-0.10297785452153189"/>
                </c:manualLayout>
              </c:layout>
              <c:showLegendKey val="0"/>
              <c:showVal val="1"/>
              <c:showCatName val="0"/>
              <c:showSerName val="0"/>
              <c:showPercent val="0"/>
              <c:showBubbleSize val="0"/>
            </c:dLbl>
            <c:dLbl>
              <c:idx val="9"/>
              <c:layout>
                <c:manualLayout>
                  <c:x val="-3.5841879858355403E-17"/>
                  <c:y val="-0.11733344966228251"/>
                </c:manualLayout>
              </c:layout>
              <c:showLegendKey val="0"/>
              <c:showVal val="1"/>
              <c:showCatName val="0"/>
              <c:showSerName val="0"/>
              <c:showPercent val="0"/>
              <c:showBubbleSize val="0"/>
            </c:dLbl>
            <c:spPr>
              <a:gradFill>
                <a:gsLst>
                  <a:gs pos="0">
                    <a:srgbClr val="5E9EFF"/>
                  </a:gs>
                  <a:gs pos="39999">
                    <a:srgbClr val="85C2FF"/>
                  </a:gs>
                  <a:gs pos="70000">
                    <a:srgbClr val="C4D6EB"/>
                  </a:gs>
                  <a:gs pos="100000">
                    <a:srgbClr val="FFEBFA"/>
                  </a:gs>
                </a:gsLst>
                <a:lin ang="5400000" scaled="0"/>
              </a:gradFill>
              <a:ln>
                <a:noFill/>
              </a:ln>
            </c:spPr>
            <c:showLegendKey val="0"/>
            <c:showVal val="1"/>
            <c:showCatName val="0"/>
            <c:showSerName val="0"/>
            <c:showPercent val="0"/>
            <c:showBubbleSize val="0"/>
            <c:showLeaderLines val="1"/>
          </c:dLbls>
          <c:cat>
            <c:strRef>
              <c:f>Лист1!$A$2:$A$11</c:f>
              <c:strCache>
                <c:ptCount val="9"/>
                <c:pt idx="0">
                  <c:v>Развитие системы образования - 55,2</c:v>
                </c:pt>
                <c:pt idx="1">
                  <c:v>Развитие сферы культуры, туризма и молодежной политики - 5,7</c:v>
                </c:pt>
                <c:pt idx="2">
                  <c:v>Развитие комплексной безопасности на территории СГО - 1,2</c:v>
                </c:pt>
                <c:pt idx="3">
                  <c:v>Экономическое развитие СГО - 1,5</c:v>
                </c:pt>
                <c:pt idx="4">
                  <c:v>Развитие инфраструктуры и комфортной среды СГО - 21,1</c:v>
                </c:pt>
                <c:pt idx="5">
                  <c:v>Физическая культура и спорт - 2,9</c:v>
                </c:pt>
                <c:pt idx="6">
                  <c:v>Развитие общественного самоуправления - 0,1</c:v>
                </c:pt>
                <c:pt idx="7">
                  <c:v>Социальная поддержка и охрана здоровья граждан - 4,3</c:v>
                </c:pt>
                <c:pt idx="8">
                  <c:v>Ресурсное  обеспечение деятельности ОМСУ - 8,0</c:v>
                </c:pt>
              </c:strCache>
            </c:strRef>
          </c:cat>
          <c:val>
            <c:numRef>
              <c:f>Лист1!$B$2:$B$11</c:f>
              <c:numCache>
                <c:formatCode>General</c:formatCode>
                <c:ptCount val="10"/>
                <c:pt idx="0">
                  <c:v>55.2</c:v>
                </c:pt>
                <c:pt idx="1">
                  <c:v>5.7</c:v>
                </c:pt>
                <c:pt idx="2">
                  <c:v>1.2</c:v>
                </c:pt>
                <c:pt idx="3">
                  <c:v>1.5</c:v>
                </c:pt>
                <c:pt idx="4">
                  <c:v>21.1</c:v>
                </c:pt>
                <c:pt idx="5">
                  <c:v>2.9</c:v>
                </c:pt>
                <c:pt idx="6">
                  <c:v>0.1</c:v>
                </c:pt>
                <c:pt idx="7">
                  <c:v>4.3</c:v>
                </c:pt>
                <c:pt idx="8" formatCode="0.0">
                  <c:v>8</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4929718829134633"/>
          <c:y val="0.1368019717756887"/>
          <c:w val="0.43897260643006136"/>
          <c:h val="0.76563584676569163"/>
        </c:manualLayout>
      </c:layou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1155466031862294E-2"/>
          <c:y val="2.0970858024190277E-2"/>
          <c:w val="0.88019506820906646"/>
          <c:h val="0.6735988001499813"/>
        </c:manualLayout>
      </c:layout>
      <c:barChart>
        <c:barDir val="col"/>
        <c:grouping val="stacked"/>
        <c:varyColors val="0"/>
        <c:ser>
          <c:idx val="0"/>
          <c:order val="0"/>
          <c:tx>
            <c:strRef>
              <c:f>Лист1!$B$1</c:f>
              <c:strCache>
                <c:ptCount val="1"/>
                <c:pt idx="0">
                  <c:v>Столбец1</c:v>
                </c:pt>
              </c:strCache>
            </c:strRef>
          </c:tx>
          <c:spPr>
            <a:gradFill>
              <a:gsLst>
                <a:gs pos="0">
                  <a:srgbClr val="CCCCFF"/>
                </a:gs>
                <a:gs pos="17999">
                  <a:srgbClr val="99CCFF"/>
                </a:gs>
                <a:gs pos="36000">
                  <a:srgbClr val="9966FF"/>
                </a:gs>
                <a:gs pos="61000">
                  <a:srgbClr val="CC99FF"/>
                </a:gs>
                <a:gs pos="82001">
                  <a:srgbClr val="99CCFF"/>
                </a:gs>
                <a:gs pos="100000">
                  <a:srgbClr val="CCCCFF"/>
                </a:gs>
              </a:gsLst>
              <a:lin ang="5400000" scaled="0"/>
            </a:gradFill>
            <a:effectLst/>
            <a:scene3d>
              <a:camera prst="orthographicFront"/>
              <a:lightRig rig="threePt" dir="t"/>
            </a:scene3d>
            <a:sp3d>
              <a:bevelT w="165100" prst="coolSlant"/>
              <a:bevelB w="101600" prst="riblet"/>
            </a:sp3d>
          </c:spPr>
          <c:invertIfNegative val="0"/>
          <c:dLbls>
            <c:dLbl>
              <c:idx val="0"/>
              <c:layout>
                <c:manualLayout>
                  <c:x val="-2.090581700543246E-3"/>
                  <c:y val="-5.038111186327953E-2"/>
                </c:manualLayout>
              </c:layout>
              <c:showLegendKey val="0"/>
              <c:showVal val="1"/>
              <c:showCatName val="0"/>
              <c:showSerName val="0"/>
              <c:showPercent val="0"/>
              <c:showBubbleSize val="0"/>
            </c:dLbl>
            <c:dLbl>
              <c:idx val="1"/>
              <c:layout>
                <c:manualLayout>
                  <c:x val="1.937984496124031E-3"/>
                  <c:y val="-6.9865441028016298E-2"/>
                </c:manualLayout>
              </c:layout>
              <c:showLegendKey val="0"/>
              <c:showVal val="1"/>
              <c:showCatName val="0"/>
              <c:showSerName val="0"/>
              <c:showPercent val="0"/>
              <c:showBubbleSize val="0"/>
            </c:dLbl>
            <c:dLbl>
              <c:idx val="2"/>
              <c:layout>
                <c:manualLayout>
                  <c:x val="1.7809619727766587E-3"/>
                  <c:y val="-0.11364449353333096"/>
                </c:manualLayout>
              </c:layout>
              <c:showLegendKey val="0"/>
              <c:showVal val="1"/>
              <c:showCatName val="0"/>
              <c:showSerName val="0"/>
              <c:showPercent val="0"/>
              <c:showBubbleSize val="0"/>
            </c:dLbl>
            <c:dLbl>
              <c:idx val="3"/>
              <c:layout>
                <c:manualLayout>
                  <c:x val="1.9259293169749129E-3"/>
                  <c:y val="-6.1090010807472596E-2"/>
                </c:manualLayout>
              </c:layout>
              <c:showLegendKey val="0"/>
              <c:showVal val="1"/>
              <c:showCatName val="0"/>
              <c:showSerName val="0"/>
              <c:showPercent val="0"/>
              <c:showBubbleSize val="0"/>
            </c:dLbl>
            <c:dLbl>
              <c:idx val="4"/>
              <c:layout>
                <c:manualLayout>
                  <c:x val="2.1597082341451505E-3"/>
                  <c:y val="-0.11482523960523035"/>
                </c:manualLayout>
              </c:layout>
              <c:showLegendKey val="0"/>
              <c:showVal val="1"/>
              <c:showCatName val="0"/>
              <c:showSerName val="0"/>
              <c:showPercent val="0"/>
              <c:showBubbleSize val="0"/>
            </c:dLbl>
            <c:dLbl>
              <c:idx val="5"/>
              <c:layout>
                <c:manualLayout>
                  <c:x val="1.8564975889641701E-3"/>
                  <c:y val="-6.3125378558449421E-2"/>
                </c:manualLayout>
              </c:layout>
              <c:showLegendKey val="0"/>
              <c:showVal val="1"/>
              <c:showCatName val="0"/>
              <c:showSerName val="0"/>
              <c:showPercent val="0"/>
              <c:showBubbleSize val="0"/>
            </c:dLbl>
            <c:dLbl>
              <c:idx val="6"/>
              <c:layout>
                <c:manualLayout>
                  <c:x val="6.0385765732771778E-3"/>
                  <c:y val="-6.3734872507452411E-2"/>
                </c:manualLayout>
              </c:layout>
              <c:showLegendKey val="0"/>
              <c:showVal val="1"/>
              <c:showCatName val="0"/>
              <c:showSerName val="0"/>
              <c:showPercent val="0"/>
              <c:showBubbleSize val="0"/>
            </c:dLbl>
            <c:dLbl>
              <c:idx val="7"/>
              <c:layout>
                <c:manualLayout>
                  <c:x val="4.2957639016053227E-3"/>
                  <c:y val="-6.3523236066079972E-2"/>
                </c:manualLayout>
              </c:layout>
              <c:showLegendKey val="0"/>
              <c:showVal val="1"/>
              <c:showCatName val="0"/>
              <c:showSerName val="0"/>
              <c:showPercent val="0"/>
              <c:showBubbleSize val="0"/>
            </c:dLbl>
            <c:dLbl>
              <c:idx val="8"/>
              <c:layout>
                <c:manualLayout>
                  <c:x val="-1.7809619727766587E-3"/>
                  <c:y val="-6.5849336706214831E-2"/>
                </c:manualLayout>
              </c:layout>
              <c:showLegendKey val="0"/>
              <c:showVal val="1"/>
              <c:showCatName val="0"/>
              <c:showSerName val="0"/>
              <c:showPercent val="0"/>
              <c:showBubbleSize val="0"/>
            </c:dLbl>
            <c:dLbl>
              <c:idx val="9"/>
              <c:layout>
                <c:manualLayout>
                  <c:x val="9.9386559238234763E-4"/>
                  <c:y val="-4.8876379140390315E-2"/>
                </c:manualLayout>
              </c:layout>
              <c:showLegendKey val="0"/>
              <c:showVal val="1"/>
              <c:showCatName val="0"/>
              <c:showSerName val="0"/>
              <c:showPercent val="0"/>
              <c:showBubbleSize val="0"/>
            </c:dLbl>
            <c:dLbl>
              <c:idx val="10"/>
              <c:layout>
                <c:manualLayout>
                  <c:x val="2.0575465449996322E-3"/>
                  <c:y val="-0.26628171478565182"/>
                </c:manualLayout>
              </c:layout>
              <c:showLegendKey val="0"/>
              <c:showVal val="1"/>
              <c:showCatName val="0"/>
              <c:showSerName val="0"/>
              <c:showPercent val="0"/>
              <c:showBubbleSize val="0"/>
            </c:dLbl>
            <c:spPr>
              <a:effectLst>
                <a:innerShdw blurRad="114300">
                  <a:prstClr val="black"/>
                </a:innerShdw>
              </a:effectLst>
            </c:spPr>
            <c:txPr>
              <a:bodyPr/>
              <a:lstStyle/>
              <a:p>
                <a:pPr>
                  <a:defRPr b="1" i="0" baseline="0"/>
                </a:pPr>
                <a:endParaRPr lang="ru-RU"/>
              </a:p>
            </c:txPr>
            <c:showLegendKey val="0"/>
            <c:showVal val="1"/>
            <c:showCatName val="0"/>
            <c:showSerName val="0"/>
            <c:showPercent val="0"/>
            <c:showBubbleSize val="0"/>
            <c:showLeaderLines val="0"/>
          </c:dLbls>
          <c:cat>
            <c:strRef>
              <c:f>Лист1!$A$2:$A$10</c:f>
              <c:strCache>
                <c:ptCount val="9"/>
                <c:pt idx="0">
                  <c:v>Развитие системы образования </c:v>
                </c:pt>
                <c:pt idx="1">
                  <c:v>Развитие сферы культуры, туризма и молодежной политики</c:v>
                </c:pt>
                <c:pt idx="2">
                  <c:v>Развитие комплексной безопасности на территории СГО</c:v>
                </c:pt>
                <c:pt idx="3">
                  <c:v>Экономическое развитие СГО</c:v>
                </c:pt>
                <c:pt idx="4">
                  <c:v>Развитие инфраструктуры и комфортной среды</c:v>
                </c:pt>
                <c:pt idx="5">
                  <c:v>Физическая культура и спорт </c:v>
                </c:pt>
                <c:pt idx="6">
                  <c:v>Развитие общественного самоуправления</c:v>
                </c:pt>
                <c:pt idx="7">
                  <c:v>Социальная поддержка и охрана здоровья граждан</c:v>
                </c:pt>
                <c:pt idx="8">
                  <c:v>Ресурсное  обеспечение деятельности органов местного самоуправления </c:v>
                </c:pt>
              </c:strCache>
            </c:strRef>
          </c:cat>
          <c:val>
            <c:numRef>
              <c:f>Лист1!$B$2:$B$10</c:f>
              <c:numCache>
                <c:formatCode>General</c:formatCode>
                <c:ptCount val="9"/>
                <c:pt idx="0">
                  <c:v>13.2</c:v>
                </c:pt>
                <c:pt idx="1">
                  <c:v>7.7</c:v>
                </c:pt>
                <c:pt idx="2">
                  <c:v>30.5</c:v>
                </c:pt>
                <c:pt idx="3" formatCode="0.0">
                  <c:v>0.3</c:v>
                </c:pt>
                <c:pt idx="4">
                  <c:v>34.700000000000003</c:v>
                </c:pt>
                <c:pt idx="5">
                  <c:v>1.3</c:v>
                </c:pt>
                <c:pt idx="6">
                  <c:v>1</c:v>
                </c:pt>
                <c:pt idx="7">
                  <c:v>0.7</c:v>
                </c:pt>
                <c:pt idx="8">
                  <c:v>12.5</c:v>
                </c:pt>
              </c:numCache>
            </c:numRef>
          </c:val>
        </c:ser>
        <c:dLbls>
          <c:showLegendKey val="0"/>
          <c:showVal val="0"/>
          <c:showCatName val="0"/>
          <c:showSerName val="0"/>
          <c:showPercent val="0"/>
          <c:showBubbleSize val="0"/>
        </c:dLbls>
        <c:gapWidth val="150"/>
        <c:overlap val="100"/>
        <c:axId val="113946624"/>
        <c:axId val="113948160"/>
      </c:barChart>
      <c:catAx>
        <c:axId val="113946624"/>
        <c:scaling>
          <c:orientation val="minMax"/>
        </c:scaling>
        <c:delete val="0"/>
        <c:axPos val="b"/>
        <c:majorTickMark val="out"/>
        <c:minorTickMark val="none"/>
        <c:tickLblPos val="nextTo"/>
        <c:txPr>
          <a:bodyPr rot="-5400000" vert="horz"/>
          <a:lstStyle/>
          <a:p>
            <a:pPr>
              <a:defRPr sz="950" kern="200" baseline="0">
                <a:latin typeface="Times New Roman" panose="02020603050405020304" pitchFamily="18" charset="0"/>
              </a:defRPr>
            </a:pPr>
            <a:endParaRPr lang="ru-RU"/>
          </a:p>
        </c:txPr>
        <c:crossAx val="113948160"/>
        <c:crosses val="autoZero"/>
        <c:auto val="1"/>
        <c:lblAlgn val="ctr"/>
        <c:lblOffset val="100"/>
        <c:noMultiLvlLbl val="0"/>
      </c:catAx>
      <c:valAx>
        <c:axId val="113948160"/>
        <c:scaling>
          <c:orientation val="minMax"/>
          <c:max val="106"/>
          <c:min val="-15"/>
        </c:scaling>
        <c:delete val="0"/>
        <c:axPos val="l"/>
        <c:majorGridlines/>
        <c:numFmt formatCode="General" sourceLinked="1"/>
        <c:majorTickMark val="out"/>
        <c:minorTickMark val="none"/>
        <c:tickLblPos val="nextTo"/>
        <c:crossAx val="113946624"/>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BF4CD-5633-4FFE-86FD-EF0473453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7275</TotalTime>
  <Pages>26</Pages>
  <Words>7701</Words>
  <Characters>43900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1542</cp:revision>
  <cp:lastPrinted>2020-11-12T06:38:00Z</cp:lastPrinted>
  <dcterms:created xsi:type="dcterms:W3CDTF">2014-11-10T07:31:00Z</dcterms:created>
  <dcterms:modified xsi:type="dcterms:W3CDTF">2020-11-13T10:23:00Z</dcterms:modified>
</cp:coreProperties>
</file>